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2025 Neurology Jubilee</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10/18/2025 7:30 AM</w:t>
      </w:r>
      <w:r w:rsidRPr="003F5D69" w:rsidR="00FE207D">
        <w:rPr>
          <w:rFonts w:cs="Arial"/>
          <w:b/>
          <w:noProof/>
          <w:sz w:val="28"/>
          <w:szCs w:val="28"/>
        </w:rPr>
        <w:t xml:space="preserve"> </w:t>
      </w:r>
      <w:r w:rsidRPr="003F5D69">
        <w:rPr>
          <w:rFonts w:cs="Arial"/>
          <w:b/>
          <w:noProof/>
          <w:sz w:val="28"/>
          <w:szCs w:val="28"/>
        </w:rPr>
        <w:t>MGM Grand Detroit</w:t>
      </w:r>
    </w:p>
    <w:p w:rsidR="00B635C4" w:rsidRPr="003F5D69" w:rsidP="006A623D">
      <w:pPr>
        <w:spacing w:line="240" w:lineRule="auto"/>
        <w:rPr>
          <w:rFonts w:cs="Arial"/>
          <w:sz w:val="24"/>
        </w:rPr>
      </w:pPr>
      <w:r>
        <w:rPr>
          <w:rtl w:val="0"/>
        </w:rPr>
        <w:t>The 2025 Neurology Jubilee will facilitate knowledge exchange amongst healthcare professions, promote collaboration and inspire further innovation in the field of neurology.</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Understand the most recent treatment options for patients with epilepsy</w:t>
      </w:r>
    </w:p>
    <w:p w:rsidRPr="003F5D69" w:rsidP="006A623D">
      <w:pPr>
        <w:spacing w:line="240" w:lineRule="auto"/>
        <w:rPr>
          <w:rFonts w:cs="Arial"/>
        </w:rPr>
      </w:pPr>
    </w:p>
    <w:p w:rsidRPr="003F5D69" w:rsidP="006A623D">
      <w:pPr>
        <w:spacing w:line="240" w:lineRule="auto"/>
        <w:rPr>
          <w:rFonts w:cs="Arial"/>
        </w:rPr>
      </w:pPr>
      <w:r w:rsidRPr="003F5D69">
        <w:rPr>
          <w:rFonts w:cs="Arial"/>
        </w:rPr>
        <w:t xml:space="preserve">2 Identify patients who would be appropriate for monoclonal antibody infusions in dementia  </w:t>
      </w:r>
    </w:p>
    <w:p w:rsidRPr="003F5D69" w:rsidP="006A623D">
      <w:pPr>
        <w:spacing w:line="240" w:lineRule="auto"/>
        <w:rPr>
          <w:rFonts w:cs="Arial"/>
        </w:rPr>
      </w:pPr>
      <w:r w:rsidRPr="003F5D69">
        <w:rPr>
          <w:rFonts w:cs="Arial"/>
        </w:rPr>
        <w:t xml:space="preserve">3 Overview of headache types </w:t>
      </w:r>
    </w:p>
    <w:p w:rsidRPr="003F5D69" w:rsidP="006A623D">
      <w:pPr>
        <w:spacing w:line="240" w:lineRule="auto"/>
        <w:rPr>
          <w:rFonts w:cs="Arial"/>
        </w:rPr>
      </w:pPr>
      <w:r w:rsidRPr="003F5D69">
        <w:rPr>
          <w:rFonts w:cs="Arial"/>
        </w:rPr>
        <w:t xml:space="preserve">4 Identify the role of neurointerventional procedures in stroke </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Neurology</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Marina Novikova,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Mohammed Rehman,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Honoraria-Alexion pharma (Relationship has ended) - 07/08/2025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Kavita Grover,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Advisor-Janssen (Relationship has ended)|Membership on Advisory Committees or Review Panels, Board Membership, etc.-Janssen|Advisor-Amgen (Relationship has ended)|Advisor-UCB (Relationship has ended)|Advisor-Kyverna (Relationship has ended) - 05/12/2025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Omar Danoun,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Vibhangini Wasade,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Fee-LivaNova Inc|Royalties or Patent Beneficiary-Cambridge University Press, UK - 06/11/2025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Jules Constantinou,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Angelos Katramados,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Nicole Hammermeister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Nestelynn Gay,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Brien Smith,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3.75</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