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Dow Medical College Class of 1994 – Alumni Reunion &amp; Edema Symposium (5/9/26)</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05/09/2026 1:00 PM</w:t>
      </w:r>
      <w:r w:rsidRPr="003F5D69" w:rsidR="00FE207D">
        <w:rPr>
          <w:rFonts w:cs="Arial"/>
          <w:b/>
          <w:noProof/>
          <w:sz w:val="28"/>
          <w:szCs w:val="28"/>
        </w:rPr>
        <w:t xml:space="preserve"> </w:t>
      </w:r>
      <w:r w:rsidRPr="003F5D69">
        <w:rPr>
          <w:rFonts w:cs="Arial"/>
          <w:b/>
          <w:noProof/>
          <w:sz w:val="28"/>
          <w:szCs w:val="28"/>
        </w:rPr>
        <w:t>The Henry Autograph Collection</w:t>
      </w:r>
    </w:p>
    <w:p w:rsidR="00B635C4" w:rsidRPr="003F5D69" w:rsidP="006A623D">
      <w:pPr>
        <w:spacing w:line="240" w:lineRule="auto"/>
        <w:rPr>
          <w:rFonts w:cs="Arial"/>
          <w:sz w:val="24"/>
        </w:rPr>
      </w:pPr>
      <w:r>
        <w:rPr>
          <w:rtl w:val="0"/>
        </w:rPr>
        <w:t>As we celebrate over three decades of impact by Dow Medical College graduates worldwide, this live, one-hour accredited CME session, titled "Challenge of Edema," features a keynote speaker with expertise in healthcare. The session focuses on the future of diagnostic tools, ethical implications, and transformation of medical practice through emerging technologies.</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Identify the common and uncommon etiologies of edema through a structured clinical framework.</w:t>
      </w:r>
    </w:p>
    <w:p w:rsidRPr="003F5D69" w:rsidP="006A623D">
      <w:pPr>
        <w:spacing w:line="240" w:lineRule="auto"/>
        <w:rPr>
          <w:rFonts w:cs="Arial"/>
        </w:rPr>
      </w:pPr>
    </w:p>
    <w:p w:rsidRPr="003F5D69" w:rsidP="006A623D">
      <w:pPr>
        <w:spacing w:line="240" w:lineRule="auto"/>
        <w:rPr>
          <w:rFonts w:cs="Arial"/>
        </w:rPr>
      </w:pPr>
    </w:p>
    <w:p w:rsidRPr="003F5D69" w:rsidP="006A623D">
      <w:pPr>
        <w:spacing w:line="240" w:lineRule="auto"/>
        <w:rPr>
          <w:rFonts w:cs="Arial"/>
        </w:rPr>
      </w:pPr>
    </w:p>
    <w:p w:rsidRPr="003F5D69" w:rsidP="006A623D">
      <w:pPr>
        <w:spacing w:line="240" w:lineRule="auto"/>
        <w:rPr>
          <w:rFonts w:cs="Arial"/>
        </w:rPr>
      </w:pPr>
    </w:p>
    <w:p w:rsidRPr="003F5D69" w:rsidP="006A623D">
      <w:pPr>
        <w:spacing w:line="240" w:lineRule="auto"/>
        <w:rPr>
          <w:rFonts w:cs="Arial"/>
        </w:rPr>
      </w:pPr>
      <w:r w:rsidRPr="003F5D69">
        <w:rPr>
          <w:rFonts w:cs="Arial"/>
        </w:rPr>
        <w:t>2 Differentiate between localized and generalized edema based on history, physical examination, and initial laboratory findings.</w:t>
      </w:r>
    </w:p>
    <w:p w:rsidRPr="003F5D69" w:rsidP="006A623D">
      <w:pPr>
        <w:spacing w:line="240" w:lineRule="auto"/>
        <w:rPr>
          <w:rFonts w:cs="Arial"/>
        </w:rPr>
      </w:pPr>
      <w:r w:rsidRPr="003F5D69">
        <w:rPr>
          <w:rFonts w:cs="Arial"/>
        </w:rPr>
        <w:t>3 Apply evidence-based guidelines to select appropriate diagnostic tests, including the role of imaging and biomarkers.</w:t>
      </w:r>
    </w:p>
    <w:p w:rsidRPr="003F5D69" w:rsidP="006A623D">
      <w:pPr>
        <w:spacing w:line="240" w:lineRule="auto"/>
        <w:rPr>
          <w:rFonts w:cs="Arial"/>
        </w:rPr>
      </w:pPr>
      <w:r w:rsidRPr="003F5D69">
        <w:rPr>
          <w:rFonts w:cs="Arial"/>
        </w:rPr>
        <w:t>4 Formulate a management plan tailored to the underlying cause of edema (e.g., cardiac, renal, hepatic, or lymphatic).</w:t>
      </w:r>
    </w:p>
    <w:p w:rsidRPr="003F5D69" w:rsidP="006A623D">
      <w:pPr>
        <w:spacing w:line="240" w:lineRule="auto"/>
        <w:rPr>
          <w:rFonts w:cs="Arial"/>
        </w:rPr>
      </w:pPr>
      <w:r w:rsidRPr="003F5D69">
        <w:rPr>
          <w:rFonts w:cs="Arial"/>
        </w:rPr>
        <w:t>5 Recognize red flags and indications for urgent referral or specialist consultation.</w:t>
      </w:r>
    </w:p>
    <w:p w:rsidRPr="003F5D69" w:rsidP="006A623D">
      <w:pPr>
        <w:spacing w:line="240" w:lineRule="auto"/>
        <w:rPr>
          <w:rFonts w:cs="Arial"/>
        </w:rPr>
      </w:pPr>
      <w:r w:rsidRPr="003F5D69">
        <w:rPr>
          <w:rFonts w:cs="Arial"/>
        </w:rPr>
        <w:t>Improve clinical decision-making to avoid unnecessary interventions and enhance patient outcomes.</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 xml:space="preserve">Cardiology, Family Medicine, Internal Medicine, Psychiatry, Rheumatology </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Syed Ahsan,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1.25</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1.25</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instrText>1.25</w:instrText>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p>
    <w:p w:rsidRPr="00DC74F2" w:rsidP="00A76840">
      <w:pPr>
        <w:spacing w:line="240" w:lineRule="auto"/>
        <w:rPr>
          <w:rFonts w:cs="Arial"/>
          <w:sz w:val="20"/>
          <w:szCs w:val="20"/>
        </w:rPr>
      </w:pPr>
      <w:r w:rsidRPr="00DC74F2">
        <w:rPr>
          <w:rFonts w:cs="Arial"/>
          <w:sz w:val="20"/>
          <w:szCs w:val="20"/>
        </w:rPr>
        <w:t xml:space="preserve">ABIM MOC Part 2: Successful completion of this CME activity, which includes participation in the evaluation component, enables the participant to earn up to </w:t>
      </w:r>
      <w:r w:rsidRPr="00DC74F2">
        <w:rPr>
          <w:rFonts w:cs="Arial"/>
          <w:sz w:val="20"/>
          <w:szCs w:val="20"/>
        </w:rPr>
        <w:t>1.25</w:t>
      </w:r>
      <w:r w:rsidRPr="00DC74F2">
        <w:rPr>
          <w:rFonts w:cs="Arial"/>
          <w:sz w:val="20"/>
          <w:szCs w:val="20"/>
        </w:rPr>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