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HFJ Trauma Grand Rounds - Organ Donation Innovation: Normothermic Regional Perfusion - McLeese</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10/27/2025 12:00 PM</w:t>
      </w:r>
      <w:r w:rsidRPr="003F5D69" w:rsidR="00FE207D">
        <w:rPr>
          <w:rFonts w:cs="Arial"/>
          <w:b/>
          <w:noProof/>
          <w:sz w:val="28"/>
          <w:szCs w:val="28"/>
        </w:rPr>
        <w:t xml:space="preserve"> </w:t>
      </w:r>
      <w:r w:rsidRPr="003F5D69">
        <w:rPr>
          <w:rFonts w:cs="Arial"/>
          <w:b/>
          <w:noProof/>
          <w:sz w:val="28"/>
          <w:szCs w:val="28"/>
        </w:rPr>
        <w:t>Online</w:t>
      </w:r>
    </w:p>
    <w:p w:rsidR="00B635C4" w:rsidRPr="003F5D69" w:rsidP="006A623D">
      <w:pPr>
        <w:spacing w:line="240" w:lineRule="auto"/>
        <w:rPr>
          <w:rFonts w:cs="Arial"/>
          <w:sz w:val="24"/>
        </w:rPr>
      </w:pPr>
      <w:r>
        <w:rPr>
          <w:rtl w:val="0"/>
        </w:rPr>
        <w:t xml:space="preserve">This lecture will discuss best practices for managing organ donation following cardiac death vs. brain death. it will describe the use of an innovative protocol called normothermic regional perfusion (NRP). NRP is designed to reduce warm ischemic time after cardiac death and thereby improve organ donation outcomes. The speaker will also discuss ethical considerations surrounding NRP. </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Compare organ donation after cardiac death (DCD) with organ donation after brain death.</w:t>
      </w:r>
    </w:p>
    <w:p w:rsidRPr="003F5D69" w:rsidP="006A623D">
      <w:pPr>
        <w:spacing w:line="240" w:lineRule="auto"/>
        <w:rPr>
          <w:rFonts w:cs="Arial"/>
        </w:rPr>
      </w:pPr>
      <w:r w:rsidRPr="003F5D69">
        <w:rPr>
          <w:rFonts w:cs="Arial"/>
        </w:rPr>
        <w:t>2 Describe warm ischemic time.</w:t>
      </w:r>
    </w:p>
    <w:p w:rsidRPr="003F5D69" w:rsidP="006A623D">
      <w:pPr>
        <w:spacing w:line="240" w:lineRule="auto"/>
        <w:rPr>
          <w:rFonts w:cs="Arial"/>
        </w:rPr>
      </w:pPr>
      <w:r w:rsidRPr="003F5D69">
        <w:rPr>
          <w:rFonts w:cs="Arial"/>
        </w:rPr>
        <w:t xml:space="preserve">3 Discuss how normothermic regional perfusion (NRP) can be used to improve outcomes among organ recipients. </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Surgical Critical Care</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Lawrence Narkiewicz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Madonna Walters, MS,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Garrecht, BSN, RN, TCRN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Stacy L McLeese,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1.00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