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rPr>
        <w:drawing>
          <wp:inline distT="0" distB="0" distL="0" distR="0">
            <wp:extent cx="4591050" cy="293317"/>
            <wp:effectExtent l="0" t="0" r="0" b="0"/>
            <wp:docPr id="54366887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668878" name="Picture 543668878"/>
                    <pic:cNvPicPr/>
                  </pic:nvPicPr>
                  <pic:blipFill>
                    <a:blip xmlns:r="http://schemas.openxmlformats.org/officeDocument/2006/relationships" r:embed="rId4">
                      <a:extLst>
                        <a:ext uri="{28A0092B-C50C-407E-A947-70E740481C1C}">
                          <a14:useLocalDpi xmlns:a14="http://schemas.microsoft.com/office/drawing/2010/main"/>
                        </a:ext>
                      </a:extLst>
                    </a:blip>
                    <a:stretch>
                      <a:fillRect/>
                    </a:stretch>
                  </pic:blipFill>
                  <pic:spPr>
                    <a:xfrm>
                      <a:off x="0" y="0"/>
                      <a:ext cx="4591050" cy="293317"/>
                    </a:xfrm>
                    <a:prstGeom prst="rect">
                      <a:avLst/>
                    </a:prstGeom>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9th Annual Gastroenterology and Hepatology Symposium (2/6/26)</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02/06/2026 7:15 AM</w:t>
      </w:r>
      <w:r w:rsidRPr="003F5D69" w:rsidR="00FE207D">
        <w:rPr>
          <w:rFonts w:cs="Arial"/>
          <w:b/>
          <w:noProof/>
          <w:sz w:val="28"/>
          <w:szCs w:val="28"/>
        </w:rPr>
        <w:t xml:space="preserve"> </w:t>
      </w:r>
      <w:r w:rsidRPr="003F5D69">
        <w:rPr>
          <w:rFonts w:cs="Arial"/>
          <w:b/>
          <w:noProof/>
          <w:sz w:val="28"/>
          <w:szCs w:val="28"/>
        </w:rPr>
        <w:t>St. John’s Resort</w:t>
      </w:r>
    </w:p>
    <w:p w:rsidR="00B635C4" w:rsidRPr="003F5D69">
      <w:pPr>
        <w:bidi w:val="0"/>
        <w:spacing w:after="280" w:afterAutospacing="1"/>
        <w:rPr>
          <w:rFonts w:cs="Arial"/>
          <w:sz w:val="24"/>
        </w:rPr>
      </w:pPr>
      <w:r>
        <w:rPr>
          <w:rtl w:val="0"/>
        </w:rPr>
        <w:t>The 9th Annual Gastroenterology and Hepatology Symposium will showcase expert and high yield, up to date content from the fields of inflammatory bowel disease, hepatology, gastrointestinal motility and advanced endoscopy.</w:t>
      </w:r>
    </w:p>
    <w:p>
      <w:pPr>
        <w:bidi w:val="0"/>
        <w:spacing w:after="280" w:afterAutospacing="1"/>
        <w:rPr>
          <w:rtl w:val="0"/>
        </w:rPr>
      </w:pP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 xml:space="preserve">1 Understand how to diagnose and manage Metabolic Dysfunction-Associated Steatotic Liver Disease (MASLD) </w:t>
      </w:r>
    </w:p>
    <w:p w:rsidRPr="003F5D69" w:rsidP="006A623D">
      <w:pPr>
        <w:spacing w:line="240" w:lineRule="auto"/>
        <w:rPr>
          <w:rFonts w:cs="Arial"/>
        </w:rPr>
      </w:pPr>
      <w:r w:rsidRPr="003F5D69">
        <w:rPr>
          <w:rFonts w:cs="Arial"/>
        </w:rPr>
        <w:t>2 Understand the management of benign liver lesions</w:t>
      </w:r>
    </w:p>
    <w:p w:rsidRPr="003F5D69" w:rsidP="006A623D">
      <w:pPr>
        <w:spacing w:line="240" w:lineRule="auto"/>
        <w:rPr>
          <w:rFonts w:cs="Arial"/>
        </w:rPr>
      </w:pPr>
      <w:r w:rsidRPr="003F5D69">
        <w:rPr>
          <w:rFonts w:cs="Arial"/>
        </w:rPr>
        <w:t>3 Gain insight into new technology and innovations in liver transplantation</w:t>
      </w:r>
    </w:p>
    <w:p w:rsidRPr="003F5D69" w:rsidP="006A623D">
      <w:pPr>
        <w:spacing w:line="240" w:lineRule="auto"/>
        <w:rPr>
          <w:rFonts w:cs="Arial"/>
        </w:rPr>
      </w:pPr>
      <w:r w:rsidRPr="003F5D69">
        <w:rPr>
          <w:rFonts w:cs="Arial"/>
        </w:rPr>
        <w:t>4 Understand how to approach a patient symptoms of bloating and belching</w:t>
      </w:r>
    </w:p>
    <w:p w:rsidRPr="003F5D69" w:rsidP="006A623D">
      <w:pPr>
        <w:spacing w:line="240" w:lineRule="auto"/>
        <w:rPr>
          <w:rFonts w:cs="Arial"/>
        </w:rPr>
      </w:pPr>
      <w:r w:rsidRPr="003F5D69">
        <w:rPr>
          <w:rFonts w:cs="Arial"/>
        </w:rPr>
        <w:t>5 Understand updated guidelines in colon cancer screening</w:t>
      </w:r>
    </w:p>
    <w:p w:rsidRPr="003F5D69" w:rsidP="006A623D">
      <w:pPr>
        <w:spacing w:line="240" w:lineRule="auto"/>
        <w:rPr>
          <w:rFonts w:cs="Arial"/>
        </w:rPr>
      </w:pPr>
      <w:r w:rsidRPr="003F5D69">
        <w:rPr>
          <w:rFonts w:cs="Arial"/>
        </w:rPr>
        <w:t>6 Understand how to management acute pancreatitis in an inpatient setting</w:t>
      </w:r>
    </w:p>
    <w:p w:rsidRPr="003F5D69" w:rsidP="006A623D">
      <w:pPr>
        <w:spacing w:line="240" w:lineRule="auto"/>
        <w:rPr>
          <w:rFonts w:cs="Arial"/>
        </w:rPr>
      </w:pPr>
      <w:r w:rsidRPr="003F5D69">
        <w:rPr>
          <w:rFonts w:cs="Arial"/>
        </w:rPr>
        <w:t>7 Understand the role of endoscopic interventions in oncology</w:t>
      </w:r>
    </w:p>
    <w:p w:rsidRPr="003F5D69" w:rsidP="006A623D">
      <w:pPr>
        <w:spacing w:line="240" w:lineRule="auto"/>
        <w:rPr>
          <w:rFonts w:cs="Arial"/>
        </w:rPr>
      </w:pPr>
      <w:r w:rsidRPr="003F5D69">
        <w:rPr>
          <w:rFonts w:cs="Arial"/>
        </w:rPr>
        <w:t>8 Understand the role of endoscopy in the management of foregut strictures</w:t>
      </w:r>
    </w:p>
    <w:p w:rsidRPr="003F5D69" w:rsidP="006A623D">
      <w:pPr>
        <w:spacing w:line="240" w:lineRule="auto"/>
        <w:rPr>
          <w:rFonts w:cs="Arial"/>
        </w:rPr>
      </w:pPr>
      <w:r w:rsidRPr="003F5D69">
        <w:rPr>
          <w:rFonts w:cs="Arial"/>
        </w:rPr>
        <w:t>9 Understand endoscopic options in the management of gastric varices</w:t>
      </w:r>
    </w:p>
    <w:p w:rsidRPr="003F5D69" w:rsidP="006A623D">
      <w:pPr>
        <w:spacing w:line="240" w:lineRule="auto"/>
        <w:rPr>
          <w:rFonts w:cs="Arial"/>
        </w:rPr>
      </w:pPr>
      <w:r w:rsidRPr="003F5D69">
        <w:rPr>
          <w:rFonts w:cs="Arial"/>
        </w:rPr>
        <w:t xml:space="preserve">10 Understand current management of C Diff and the use of FMT </w:t>
      </w:r>
    </w:p>
    <w:p w:rsidRPr="003F5D69" w:rsidP="006A623D">
      <w:pPr>
        <w:spacing w:line="240" w:lineRule="auto"/>
        <w:rPr>
          <w:rFonts w:cs="Arial"/>
        </w:rPr>
      </w:pPr>
      <w:r w:rsidRPr="003F5D69">
        <w:rPr>
          <w:rFonts w:cs="Arial"/>
        </w:rPr>
        <w:t>11 Gain insight into intestinal ultrasound as an emerging technology</w:t>
      </w:r>
    </w:p>
    <w:p w:rsidRPr="003F5D69" w:rsidP="006A623D">
      <w:pPr>
        <w:spacing w:line="240" w:lineRule="auto"/>
        <w:rPr>
          <w:rFonts w:cs="Arial"/>
        </w:rPr>
      </w:pPr>
      <w:r w:rsidRPr="003F5D69">
        <w:rPr>
          <w:rFonts w:cs="Arial"/>
        </w:rPr>
        <w:t>12 Understand how to optimize the use of medications in IBD</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Gastroenterology</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Sumair Ahmad,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Abbas Al-Kurd,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research)-Transmedics - 11/11/2025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Eva Alsheik,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Bureau-Enterra - 11/13/2025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Najwa El-Nachef,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support-Federation Bio|Grant or research support-Takeda|Grant or research support-Abivax - 10/01/2025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Monika Fischer,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Bureau-Janssen - 11/08/2025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Ginnebaugh,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Paid consultant-Ardelyx - 12/02/2025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Kevin Harris,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- 09/04/2025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Fadi Hawa,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Jessica Jou,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- 11/19/2025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Baharak Moshiree,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Grant or research support-Atmo Biosciences |Grant or research support-CINDOME - 11/20/2025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Juan Reyes Genere,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Fee-Boston Scientific|Advisor-Edulis Therapuetics - 11/03/2025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Jason Schairer,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Sumit Singla,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Fee-Boston Scientific - 09/10/2025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Iana Stonier,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- 01/22/2026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Amanda Su,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Nirav Thosani,, MD, MHA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etc.-ALPFA Medical - 11/16/2025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Andrew Watson,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Fee-Cook Medical - 11/18/2025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Tinsay Woreta, MD, MPH, FAASLD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Tobias Zuchelli,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Fee-Boston Scientific - 11/10/2025</w:t>
            </w:r>
          </w:p>
        </w:tc>
      </w:tr>
    </w:tbl>
    <w:p w:rsidR="0028578E" w:rsidRPr="00EB5B29">
      <w:pPr>
        <w:bidi w:val="0"/>
        <w:spacing w:after="280" w:afterAutospacing="1"/>
        <w:rPr>
          <w:rFonts w:cs="Arial"/>
          <w:b/>
          <w:bCs/>
          <w:noProof/>
          <w:sz w:val="24"/>
          <w:szCs w:val="24"/>
        </w:rPr>
      </w:pPr>
    </w:p>
    <w:p w:rsidR="00CE6541" w:rsidRPr="00BC1050" w:rsidP="00CE6541">
      <w:pPr>
        <w:spacing w:after="0" w:line="240" w:lineRule="auto"/>
        <w:rPr>
          <w:rFonts w:cs="Arial"/>
          <w:b/>
          <w:bCs/>
          <w:noProof/>
        </w:rPr>
      </w:pPr>
      <w:bookmarkStart w:id="0" w:name="_Hlk216710071"/>
      <w:r w:rsidRPr="14552B97">
        <w:rPr>
          <w:rFonts w:cs="Arial"/>
          <w:b/>
          <w:bCs/>
          <w:noProof/>
        </w:rPr>
        <w:t xml:space="preserve">MITIGATION OF RELEVANT FINANCIAL RELATIONSHIPS: </w:t>
      </w:r>
      <w:r w:rsidRPr="14552B97">
        <w:rPr>
          <w:rFonts w:cs="Arial"/>
          <w:noProof/>
        </w:rPr>
        <w:t>Henry Ford Health adheres to the ACCME’s Standards for Integrity and Independence in Accredited Continuing Education. Henry Ford Health has implemented mechanisms to identify and mitigate financial relationships with ineligible companies for all individuals in a position to control content of this activity. All relevant financial relationships have been mitigated prior to the commencement of this activity.</w:t>
      </w:r>
    </w:p>
    <w:p w:rsidR="00CE6541" w:rsidRPr="00BC1050" w:rsidP="00CE6541">
      <w:pPr>
        <w:spacing w:after="0" w:line="240" w:lineRule="auto"/>
        <w:rPr>
          <w:rFonts w:cs="Arial"/>
          <w:b/>
          <w:bCs/>
        </w:rPr>
      </w:pPr>
      <w:bookmarkEnd w:id="0"/>
    </w:p>
    <w:p w:rsidR="00CE6541" w:rsidRPr="00BC1050" w:rsidP="00CE6541">
      <w:pPr>
        <w:spacing w:line="240" w:lineRule="auto"/>
        <w:rPr>
          <w:rFonts w:cs="Arial"/>
          <w:b/>
          <w:bCs/>
        </w:rPr>
      </w:pPr>
      <w:r w:rsidRPr="14552B97">
        <w:rPr>
          <w:rFonts w:cs="Arial"/>
          <w:b/>
          <w:bCs/>
        </w:rPr>
        <w:t xml:space="preserve">ACCREDITATION STATEMENT: </w:t>
      </w:r>
      <w:r w:rsidRPr="14552B97">
        <w:rPr>
          <w:rFonts w:cs="Arial"/>
        </w:rPr>
        <w:t>Henry Ford Health is accredited by the Accreditation Council for Continuing Medical Education to provide continuing medical education for physicians. </w:t>
      </w:r>
    </w:p>
    <w:p w:rsidR="004200C3" w:rsidRPr="004200C3" w:rsidP="004200C3">
      <w:pPr>
        <w:spacing w:line="240" w:lineRule="auto"/>
        <w:rPr>
          <w:rFonts w:cs="Arial"/>
          <w:b/>
          <w:bCs/>
        </w:rPr>
      </w:pPr>
      <w:r w:rsidRPr="004200C3">
        <w:rPr>
          <w:rFonts w:cs="Arial"/>
          <w:b/>
          <w:bCs/>
        </w:rPr>
        <w:t>DESIGNATION STATEMENT</w:t>
      </w:r>
      <w:r w:rsidRPr="003F5D69">
        <w:rPr>
          <w:rFonts w:cs="Arial"/>
          <w:b/>
          <w:bCs/>
          <w:sz w:val="20"/>
          <w:szCs w:val="20"/>
        </w:rPr>
        <w:t>:</w:t>
      </w:r>
      <w:r w:rsidRPr="003F5D69">
        <w:rPr>
          <w:b/>
          <w:bCs/>
          <w:sz w:val="20"/>
          <w:szCs w:val="20"/>
        </w:rPr>
        <w:t xml:space="preserve"> </w:t>
      </w:r>
      <w:r w:rsidRPr="004200C3">
        <w:rPr>
          <w:rFonts w:cs="Arial"/>
        </w:rPr>
        <w:t xml:space="preserve">Henry Ford Health designates this </w:t>
      </w:r>
      <w:r w:rsidRPr="00EB5B29" w:rsidR="00A76EBE">
        <w:rPr>
          <w:rFonts w:cs="Arial"/>
          <w:noProof/>
        </w:rPr>
        <w:t>Live Activity</w:t>
      </w:r>
      <w:r w:rsidR="00A76EBE">
        <w:rPr>
          <w:rFonts w:cs="Arial"/>
          <w:noProof/>
          <w:sz w:val="24"/>
          <w:szCs w:val="24"/>
        </w:rPr>
        <w:t xml:space="preserve"> </w:t>
      </w:r>
      <w:r w:rsidRPr="004200C3">
        <w:rPr>
          <w:rFonts w:cs="Arial"/>
        </w:rPr>
        <w:t>course for a maximum of </w:t>
      </w:r>
      <w:r w:rsidRPr="004200C3">
        <w:rPr>
          <w:rFonts w:cs="Arial"/>
          <w:noProof/>
        </w:rPr>
        <w:t>6.50</w:t>
      </w:r>
      <w:r w:rsidRPr="004200C3">
        <w:rPr>
          <w:rFonts w:cs="Arial"/>
        </w:rPr>
        <w:t> </w:t>
      </w:r>
      <w:r w:rsidRPr="004200C3">
        <w:rPr>
          <w:rFonts w:cs="Arial"/>
          <w:i/>
          <w:iCs/>
        </w:rPr>
        <w:t>AMA PRA Category 1 Credit(s) TM</w:t>
      </w:r>
      <w:r w:rsidRPr="004200C3">
        <w:rPr>
          <w:rFonts w:cs="Arial"/>
        </w:rPr>
        <w:t>. Physicians should only claim the credit commensurate with the extent of their participation in the activity.</w:t>
      </w:r>
      <w:r w:rsidRPr="004200C3">
        <w:rPr>
          <w:rFonts w:cs="Arial"/>
        </w:rPr>
        <w:fldChar w:fldCharType="begin"/>
      </w:r>
      <w:r w:rsidRPr="004200C3">
        <w:rPr>
          <w:rFonts w:cs="Arial"/>
        </w:rPr>
        <w:instrText xml:space="preserve"> IF </w:instrText>
      </w:r>
      <w:r w:rsidRPr="004200C3">
        <w:rPr>
          <w:rFonts w:cs="Arial"/>
        </w:rPr>
        <w:instrText>6.50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ABIM MOC Part 2: Successful completion of this CME activity, which includes participation in the evaluation component, enables the participant to earn up to </w:instrText>
      </w:r>
      <w:r w:rsidRPr="004200C3">
        <w:rPr>
          <w:rFonts w:cs="Arial"/>
        </w:rPr>
        <w:instrText>6.50</w:instrText>
      </w:r>
      <w:r w:rsidRPr="004200C3">
        <w:rPr>
          <w:rFonts w:cs="Arial"/>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4200C3">
        <w:rPr>
          <w:rFonts w:cs="Arial"/>
        </w:rPr>
        <w:fldChar w:fldCharType="separate"/>
      </w:r>
    </w:p>
    <w:p w:rsidRPr="004200C3" w:rsidP="004200C3">
      <w:pPr>
        <w:spacing w:line="240" w:lineRule="auto"/>
        <w:rPr>
          <w:rFonts w:cs="Arial"/>
        </w:rPr>
      </w:pPr>
      <w:r w:rsidRPr="004200C3">
        <w:rPr>
          <w:rFonts w:cs="Arial"/>
        </w:rPr>
        <w:t xml:space="preserve">ABIM MOC Part 2: Successful completion of this CME activity, which includes participation in the evaluation component, enables the participant to earn up to </w:t>
      </w:r>
      <w:r w:rsidRPr="004200C3">
        <w:rPr>
          <w:rFonts w:cs="Arial"/>
        </w:rPr>
        <w:t>6.50</w:t>
      </w:r>
      <w:r w:rsidRPr="004200C3">
        <w:rPr>
          <w:rFonts w:cs="Arial"/>
        </w:rPr>
        <w:t xml:space="preserve"> MOC points in the American Board of Internal Medicine’s (ABIM) Maintenance of Certification (MOC) program. It is the CME activity provider’s responsibility to submit participant completion information to ACCME for the purpose of granting ABIM MOC credit.</w:t>
      </w:r>
      <w:r w:rsidRPr="004200C3">
        <w:rPr>
          <w:rFonts w:cs="Arial"/>
        </w:rPr>
        <w:fldChar w:fldCharType="end"/>
      </w:r>
      <w:r w:rsidRPr="004200C3">
        <w:rPr>
          <w:rFonts w:cs="Arial"/>
        </w:rPr>
        <w:fldChar w:fldCharType="begin"/>
      </w:r>
      <w:r w:rsidRPr="004200C3">
        <w:rPr>
          <w:rFonts w:cs="Arial"/>
        </w:rPr>
        <w:instrText xml:space="preserve"> IF </w:instrText>
      </w:r>
      <w:r w:rsidRPr="004200C3">
        <w:rPr>
          <w:rFonts w:cs="Arial"/>
        </w:rPr>
        <w:instrText>0.00</w:instrText>
      </w:r>
      <w:r w:rsidRPr="004200C3">
        <w:rPr>
          <w:rFonts w:cs="Arial"/>
        </w:rPr>
        <w:instrText xml:space="preserve"> &gt; 0 "</w:instrText>
      </w:r>
    </w:p>
    <w:p w:rsidR="004200C3" w:rsidRPr="004200C3" w:rsidP="004200C3">
      <w:pPr>
        <w:spacing w:line="240" w:lineRule="auto"/>
        <w:rPr>
          <w:rFonts w:cs="Arial"/>
        </w:rPr>
      </w:pPr>
      <w:r w:rsidRPr="004200C3">
        <w:rPr>
          <w:rFonts w:cs="Arial"/>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4200C3">
        <w:rPr>
          <w:rFonts w:cs="Arial"/>
        </w:rPr>
        <w:fldChar w:fldCharType="separate"/>
      </w:r>
      <w:r w:rsidRPr="004200C3">
        <w:rPr>
          <w:rFonts w:cs="Arial"/>
        </w:rPr>
        <w:fldChar w:fldCharType="end"/>
      </w:r>
    </w:p>
    <w:p w:rsidR="00CE6541" w:rsidRPr="0028578E" w:rsidP="00802EA0">
      <w:pPr>
        <w:spacing w:line="240" w:lineRule="auto"/>
        <w:rPr>
          <w:rFonts w:cs="Arial"/>
          <w:sz w:val="20"/>
          <w:szCs w:val="20"/>
        </w:rPr>
      </w:pP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3"/>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288</Words>
  <Characters>1927</Characters>
  <Application>Microsoft Office Word</Application>
  <DocSecurity>0</DocSecurity>
  <Lines>45</Lines>
  <Paragraphs>24</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Millard, Beverly</cp:lastModifiedBy>
  <cp:revision>2</cp:revision>
  <dcterms:created xsi:type="dcterms:W3CDTF">2026-01-20T21:36:00Z</dcterms:created>
  <dcterms:modified xsi:type="dcterms:W3CDTF">2026-01-20T21:36:00Z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