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815BB5" w:rsidP="006A623D">
      <w:pPr>
        <w:spacing w:line="240" w:lineRule="auto"/>
        <w:rPr>
          <w:rFonts w:ascii="Arial" w:hAnsi="Arial" w:cs="Arial"/>
          <w:b/>
          <w:noProof/>
          <w:sz w:val="28"/>
          <w:szCs w:val="28"/>
        </w:rPr>
      </w:pPr>
      <w:r w:rsidRPr="003729D7">
        <w:rPr>
          <w:rFonts w:ascii="Arial" w:hAnsi="Arial" w:cs="Arial"/>
          <w:noProof/>
        </w:rPr>
        <w:drawing>
          <wp:inline distT="0" distB="0" distL="0" distR="0">
            <wp:extent cx="3556000" cy="12827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HS logo.png"/>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556000" cy="1282700"/>
                    </a:xfrm>
                    <a:prstGeom prst="rect">
                      <a:avLst/>
                    </a:prstGeom>
                  </pic:spPr>
                </pic:pic>
              </a:graphicData>
            </a:graphic>
          </wp:inline>
        </w:drawing>
      </w:r>
      <w:r w:rsidRPr="003729D7" w:rsidR="004D5DAE">
        <w:rPr>
          <w:rFonts w:ascii="Arial" w:hAnsi="Arial" w:cs="Arial"/>
        </w:rPr>
        <w:br/>
      </w:r>
      <w:r w:rsidRPr="003729D7" w:rsidR="007B0FAA">
        <w:rPr>
          <w:rFonts w:ascii="Arial" w:hAnsi="Arial" w:cs="Arial"/>
          <w:b/>
          <w:color w:val="31849B" w:themeColor="accent5" w:themeShade="BF"/>
          <w:sz w:val="28"/>
          <w:szCs w:val="28"/>
        </w:rPr>
        <w:br/>
      </w:r>
      <w:r w:rsidRPr="005220D6" w:rsidR="005220D6">
        <w:rPr>
          <w:rFonts w:ascii="Arial" w:hAnsi="Arial" w:cs="Arial"/>
          <w:b/>
          <w:bCs/>
          <w:noProof/>
          <w:sz w:val="28"/>
          <w:szCs w:val="28"/>
        </w:rPr>
        <w:t>APP Fall</w:t>
      </w:r>
      <w:r w:rsidRPr="005220D6" w:rsidR="005220D6">
        <w:rPr>
          <w:rFonts w:ascii="Arial" w:hAnsi="Arial" w:cs="Arial"/>
          <w:b/>
          <w:bCs/>
          <w:sz w:val="28"/>
          <w:szCs w:val="28"/>
        </w:rPr>
        <w:t xml:space="preserve"> Symposium (11/20/21)</w:t>
      </w:r>
      <w:r w:rsidRPr="005220D6" w:rsidR="00993B4D">
        <w:rPr>
          <w:rFonts w:ascii="Arial" w:hAnsi="Arial" w:cs="Arial"/>
          <w:b/>
          <w:noProof/>
          <w:sz w:val="28"/>
          <w:szCs w:val="28"/>
        </w:rPr>
        <w:t xml:space="preserve"> </w:t>
      </w:r>
      <w:r w:rsidRPr="005220D6" w:rsidR="005220D6">
        <w:rPr>
          <w:rFonts w:ascii="Arial" w:hAnsi="Arial" w:cs="Arial"/>
          <w:b/>
          <w:noProof/>
          <w:sz w:val="28"/>
          <w:szCs w:val="28"/>
        </w:rPr>
        <w:t>|</w:t>
      </w:r>
      <w:r w:rsidR="005220D6">
        <w:rPr>
          <w:rFonts w:ascii="Arial" w:hAnsi="Arial" w:cs="Arial"/>
          <w:b/>
          <w:noProof/>
          <w:sz w:val="28"/>
          <w:szCs w:val="28"/>
        </w:rPr>
        <w:t xml:space="preserve"> </w:t>
      </w:r>
      <w:r w:rsidR="005220D6">
        <w:rPr>
          <w:rFonts w:ascii="Arial" w:hAnsi="Arial" w:cs="Arial"/>
          <w:b/>
          <w:noProof/>
          <w:sz w:val="28"/>
          <w:szCs w:val="28"/>
        </w:rPr>
        <w:t>11/20</w:t>
      </w:r>
      <w:r w:rsidR="005220D6">
        <w:rPr>
          <w:rFonts w:ascii="Arial" w:hAnsi="Arial" w:cs="Arial"/>
          <w:b/>
          <w:noProof/>
          <w:sz w:val="28"/>
          <w:szCs w:val="28"/>
        </w:rPr>
        <w:t>/2021 7:00:00 AM</w:t>
      </w:r>
      <w:r w:rsidR="00FE207D">
        <w:rPr>
          <w:rFonts w:ascii="Arial" w:hAnsi="Arial" w:cs="Arial"/>
          <w:b/>
          <w:noProof/>
          <w:sz w:val="28"/>
          <w:szCs w:val="28"/>
        </w:rPr>
        <w:t xml:space="preserve"> </w:t>
      </w:r>
      <w:r>
        <w:rPr>
          <w:rFonts w:ascii="Arial" w:hAnsi="Arial" w:cs="Arial"/>
          <w:b/>
          <w:noProof/>
          <w:sz w:val="28"/>
          <w:szCs w:val="28"/>
        </w:rPr>
        <w:t>The Dearborn</w:t>
      </w:r>
      <w:r>
        <w:rPr>
          <w:rFonts w:ascii="Arial" w:hAnsi="Arial" w:cs="Arial"/>
          <w:b/>
          <w:noProof/>
          <w:sz w:val="28"/>
          <w:szCs w:val="28"/>
        </w:rPr>
        <w:t xml:space="preserve"> Inn</w:t>
      </w:r>
    </w:p>
    <w:p w:rsidR="00375873" w:rsidP="006A623D">
      <w:pPr>
        <w:spacing w:line="240" w:lineRule="auto"/>
        <w:rPr>
          <w:rFonts w:ascii="Arial" w:hAnsi="Arial" w:cs="Arial"/>
          <w:sz w:val="24"/>
        </w:rPr>
      </w:pPr>
      <w:r>
        <w:rPr>
          <w:rtl w:val="0"/>
        </w:rPr>
        <w:t>The annual APP Fall Conference is back! The 2021 APP Fall Conference will focus heavily on well-being and offering a generalized approach to a variety of medical topics for all APPs. Whether you are looking to learn a few new things to add to your toolbox or to just take some time to nurture it, please join us for this conference on November 20th at the Dearborn Inn and earn up to 4.5 CME credits!</w:t>
      </w:r>
    </w:p>
    <w:p w:rsidR="00B635C4" w:rsidRPr="003729D7" w:rsidP="006A623D">
      <w:pPr>
        <w:spacing w:line="240" w:lineRule="auto"/>
        <w:rPr>
          <w:rFonts w:ascii="Arial" w:hAnsi="Arial" w:cs="Arial"/>
          <w:sz w:val="24"/>
        </w:rPr>
      </w:pPr>
    </w:p>
    <w:p w:rsidR="00815BB5" w:rsidP="006A623D">
      <w:pPr>
        <w:spacing w:line="240" w:lineRule="auto"/>
        <w:rPr>
          <w:rFonts w:ascii="Arial" w:hAnsi="Arial" w:cs="Arial"/>
          <w:b/>
          <w:sz w:val="24"/>
          <w:szCs w:val="24"/>
        </w:rPr>
      </w:pPr>
      <w:r w:rsidRPr="003729D7">
        <w:rPr>
          <w:rFonts w:ascii="Arial" w:hAnsi="Arial" w:cs="Arial"/>
          <w:b/>
          <w:sz w:val="24"/>
          <w:szCs w:val="24"/>
        </w:rPr>
        <w:t>Program Goal</w:t>
      </w:r>
    </w:p>
    <w:p w:rsidR="00993B4D" w:rsidRPr="003729D7" w:rsidP="006A623D">
      <w:pPr>
        <w:spacing w:line="240" w:lineRule="auto"/>
        <w:rPr>
          <w:rFonts w:ascii="Arial" w:hAnsi="Arial" w:cs="Arial"/>
          <w:color w:val="000000" w:themeColor="text1"/>
          <w:sz w:val="24"/>
          <w:szCs w:val="24"/>
        </w:rPr>
      </w:pPr>
      <w:r w:rsidRPr="003729D7">
        <w:rPr>
          <w:rFonts w:ascii="Arial" w:hAnsi="Arial" w:cs="Arial"/>
          <w:noProof/>
          <w:sz w:val="24"/>
          <w:szCs w:val="24"/>
        </w:rPr>
        <w:t>1 Review</w:t>
      </w:r>
      <w:r w:rsidRPr="003729D7">
        <w:rPr>
          <w:rFonts w:ascii="Arial" w:hAnsi="Arial" w:cs="Arial"/>
        </w:rPr>
        <w:t xml:space="preserve"> laws and local trends related to the prescribing of controlled substances.</w:t>
      </w:r>
    </w:p>
    <w:p w:rsidRPr="003729D7" w:rsidP="006A623D">
      <w:pPr>
        <w:spacing w:line="240" w:lineRule="auto"/>
        <w:rPr>
          <w:rFonts w:ascii="Arial" w:hAnsi="Arial" w:cs="Arial"/>
        </w:rPr>
      </w:pPr>
      <w:r w:rsidRPr="003729D7">
        <w:rPr>
          <w:rFonts w:ascii="Arial" w:hAnsi="Arial" w:cs="Arial"/>
        </w:rPr>
        <w:t xml:space="preserve">2 Describe risk mitigation strategies including naloxone therapy. </w:t>
      </w:r>
    </w:p>
    <w:p w:rsidRPr="003729D7" w:rsidP="006A623D">
      <w:pPr>
        <w:spacing w:line="240" w:lineRule="auto"/>
        <w:rPr>
          <w:rFonts w:ascii="Arial" w:hAnsi="Arial" w:cs="Arial"/>
        </w:rPr>
      </w:pPr>
      <w:r w:rsidRPr="003729D7">
        <w:rPr>
          <w:rFonts w:ascii="Arial" w:hAnsi="Arial" w:cs="Arial"/>
        </w:rPr>
        <w:t xml:space="preserve">3 Discuss alternative treatments and non-opioid options for pain management. </w:t>
      </w:r>
    </w:p>
    <w:p w:rsidRPr="003729D7" w:rsidP="006A623D">
      <w:pPr>
        <w:spacing w:line="240" w:lineRule="auto"/>
        <w:rPr>
          <w:rFonts w:ascii="Arial" w:hAnsi="Arial" w:cs="Arial"/>
        </w:rPr>
      </w:pPr>
      <w:r w:rsidRPr="003729D7">
        <w:rPr>
          <w:rFonts w:ascii="Arial" w:hAnsi="Arial" w:cs="Arial"/>
        </w:rPr>
        <w:t>4 Recap: Virtual Care Overview, Value Creation &amp; Capabilities</w:t>
      </w:r>
    </w:p>
    <w:p w:rsidRPr="003729D7" w:rsidP="006A623D">
      <w:pPr>
        <w:spacing w:line="240" w:lineRule="auto"/>
        <w:rPr>
          <w:rFonts w:ascii="Arial" w:hAnsi="Arial" w:cs="Arial"/>
        </w:rPr>
      </w:pPr>
      <w:r w:rsidRPr="003729D7">
        <w:rPr>
          <w:rFonts w:ascii="Arial" w:hAnsi="Arial" w:cs="Arial"/>
        </w:rPr>
        <w:t xml:space="preserve">5 Data/Goals: Digital &amp; Virtual Care </w:t>
      </w:r>
    </w:p>
    <w:p w:rsidRPr="003729D7" w:rsidP="006A623D">
      <w:pPr>
        <w:spacing w:line="240" w:lineRule="auto"/>
        <w:rPr>
          <w:rFonts w:ascii="Arial" w:hAnsi="Arial" w:cs="Arial"/>
        </w:rPr>
      </w:pPr>
      <w:r w:rsidRPr="003729D7">
        <w:rPr>
          <w:rFonts w:ascii="Arial" w:hAnsi="Arial" w:cs="Arial"/>
        </w:rPr>
        <w:t>6 Virtual Care Government/Reimbursement Updates</w:t>
      </w:r>
    </w:p>
    <w:p w:rsidRPr="003729D7" w:rsidP="006A623D">
      <w:pPr>
        <w:spacing w:line="240" w:lineRule="auto"/>
        <w:rPr>
          <w:rFonts w:ascii="Arial" w:hAnsi="Arial" w:cs="Arial"/>
        </w:rPr>
      </w:pPr>
      <w:r w:rsidRPr="003729D7">
        <w:rPr>
          <w:rFonts w:ascii="Arial" w:hAnsi="Arial" w:cs="Arial"/>
        </w:rPr>
        <w:t>7 Enhancements &amp; Program Updates on virtual care; limitations and solutions moving foward</w:t>
      </w:r>
    </w:p>
    <w:p w:rsidRPr="003729D7" w:rsidP="006A623D">
      <w:pPr>
        <w:spacing w:line="240" w:lineRule="auto"/>
        <w:rPr>
          <w:rFonts w:ascii="Arial" w:hAnsi="Arial" w:cs="Arial"/>
        </w:rPr>
      </w:pPr>
      <w:r w:rsidRPr="003729D7">
        <w:rPr>
          <w:rFonts w:ascii="Arial" w:hAnsi="Arial" w:cs="Arial"/>
        </w:rPr>
        <w:t xml:space="preserve">8 overview of sepsis </w:t>
      </w:r>
    </w:p>
    <w:p w:rsidRPr="003729D7" w:rsidP="006A623D">
      <w:pPr>
        <w:spacing w:line="240" w:lineRule="auto"/>
        <w:rPr>
          <w:rFonts w:ascii="Arial" w:hAnsi="Arial" w:cs="Arial"/>
        </w:rPr>
      </w:pPr>
      <w:r w:rsidRPr="003729D7">
        <w:rPr>
          <w:rFonts w:ascii="Arial" w:hAnsi="Arial" w:cs="Arial"/>
        </w:rPr>
        <w:t>9 how to diagnose, treat and manage patients with sepsis</w:t>
      </w:r>
    </w:p>
    <w:p w:rsidRPr="003729D7" w:rsidP="006A623D">
      <w:pPr>
        <w:spacing w:line="240" w:lineRule="auto"/>
        <w:rPr>
          <w:rFonts w:ascii="Arial" w:hAnsi="Arial" w:cs="Arial"/>
        </w:rPr>
      </w:pPr>
      <w:r w:rsidRPr="003729D7">
        <w:rPr>
          <w:rFonts w:ascii="Arial" w:hAnsi="Arial" w:cs="Arial"/>
        </w:rPr>
        <w:t>10 sepsis prevention and stats currently; projections</w:t>
      </w:r>
    </w:p>
    <w:p w:rsidRPr="003729D7" w:rsidP="006A623D">
      <w:pPr>
        <w:spacing w:line="240" w:lineRule="auto"/>
        <w:rPr>
          <w:rFonts w:ascii="Arial" w:hAnsi="Arial" w:cs="Arial"/>
        </w:rPr>
      </w:pPr>
      <w:r w:rsidRPr="003729D7">
        <w:rPr>
          <w:rFonts w:ascii="Arial" w:hAnsi="Arial" w:cs="Arial"/>
        </w:rPr>
        <w:t>11 management of patients with HIV</w:t>
      </w:r>
    </w:p>
    <w:p w:rsidRPr="003729D7" w:rsidP="006A623D">
      <w:pPr>
        <w:spacing w:line="240" w:lineRule="auto"/>
        <w:rPr>
          <w:rFonts w:ascii="Arial" w:hAnsi="Arial" w:cs="Arial"/>
        </w:rPr>
      </w:pPr>
      <w:r w:rsidRPr="003729D7">
        <w:rPr>
          <w:rFonts w:ascii="Arial" w:hAnsi="Arial" w:cs="Arial"/>
        </w:rPr>
        <w:t>12 diagnosis of HIV and therapies available</w:t>
      </w:r>
    </w:p>
    <w:p w:rsidRPr="003729D7" w:rsidP="006A623D">
      <w:pPr>
        <w:spacing w:line="240" w:lineRule="auto"/>
        <w:rPr>
          <w:rFonts w:ascii="Arial" w:hAnsi="Arial" w:cs="Arial"/>
        </w:rPr>
      </w:pPr>
      <w:r w:rsidRPr="003729D7">
        <w:rPr>
          <w:rFonts w:ascii="Arial" w:hAnsi="Arial" w:cs="Arial"/>
        </w:rPr>
        <w:t>13 HIV prophylaxis</w:t>
      </w:r>
    </w:p>
    <w:p w:rsidRPr="003729D7" w:rsidP="006A623D">
      <w:pPr>
        <w:spacing w:line="240" w:lineRule="auto"/>
        <w:rPr>
          <w:rFonts w:ascii="Arial" w:hAnsi="Arial" w:cs="Arial"/>
        </w:rPr>
      </w:pPr>
      <w:r w:rsidRPr="003729D7">
        <w:rPr>
          <w:rFonts w:ascii="Arial" w:hAnsi="Arial" w:cs="Arial"/>
        </w:rPr>
        <w:t>14 overview of the patient who presents with possible breast CA</w:t>
      </w:r>
    </w:p>
    <w:p w:rsidRPr="003729D7" w:rsidP="006A623D">
      <w:pPr>
        <w:spacing w:line="240" w:lineRule="auto"/>
        <w:rPr>
          <w:rFonts w:ascii="Arial" w:hAnsi="Arial" w:cs="Arial"/>
        </w:rPr>
      </w:pPr>
      <w:r w:rsidRPr="003729D7">
        <w:rPr>
          <w:rFonts w:ascii="Arial" w:hAnsi="Arial" w:cs="Arial"/>
        </w:rPr>
        <w:t>15 how to perform the suspected breast cancer workup</w:t>
      </w:r>
    </w:p>
    <w:p w:rsidRPr="003729D7" w:rsidP="006A623D">
      <w:pPr>
        <w:spacing w:line="240" w:lineRule="auto"/>
        <w:rPr>
          <w:rFonts w:ascii="Arial" w:hAnsi="Arial" w:cs="Arial"/>
        </w:rPr>
      </w:pPr>
      <w:r w:rsidRPr="003729D7">
        <w:rPr>
          <w:rFonts w:ascii="Arial" w:hAnsi="Arial" w:cs="Arial"/>
        </w:rPr>
        <w:t>16 treatments as a general provider and consults and referring to breast oncology</w:t>
      </w:r>
    </w:p>
    <w:p w:rsidRPr="003729D7" w:rsidP="006A623D">
      <w:pPr>
        <w:spacing w:line="240" w:lineRule="auto"/>
        <w:rPr>
          <w:rFonts w:ascii="Arial" w:hAnsi="Arial" w:cs="Arial"/>
        </w:rPr>
      </w:pPr>
      <w:r w:rsidRPr="003729D7">
        <w:rPr>
          <w:rFonts w:ascii="Arial" w:hAnsi="Arial" w:cs="Arial"/>
        </w:rPr>
        <w:t>17 overview of provider burnout, covid, causes and current state of feeling burnt out</w:t>
      </w:r>
    </w:p>
    <w:p w:rsidRPr="003729D7" w:rsidP="006A623D">
      <w:pPr>
        <w:spacing w:line="240" w:lineRule="auto"/>
        <w:rPr>
          <w:rFonts w:ascii="Arial" w:hAnsi="Arial" w:cs="Arial"/>
        </w:rPr>
      </w:pPr>
      <w:r w:rsidRPr="003729D7">
        <w:rPr>
          <w:rFonts w:ascii="Arial" w:hAnsi="Arial" w:cs="Arial"/>
        </w:rPr>
        <w:t>18 how providers can better their own wellness; the importance of mental health</w:t>
      </w:r>
    </w:p>
    <w:p w:rsidRPr="003729D7" w:rsidP="006A623D">
      <w:pPr>
        <w:spacing w:line="240" w:lineRule="auto"/>
        <w:rPr>
          <w:rFonts w:ascii="Arial" w:hAnsi="Arial" w:cs="Arial"/>
        </w:rPr>
      </w:pPr>
      <w:r w:rsidRPr="003729D7">
        <w:rPr>
          <w:rFonts w:ascii="Arial" w:hAnsi="Arial" w:cs="Arial"/>
        </w:rPr>
        <w:t>19 exercises to improve well-being as a provider during a pandemic</w:t>
      </w:r>
    </w:p>
    <w:p w:rsidR="00993B4D" w:rsidRPr="003729D7" w:rsidP="006A623D">
      <w:pPr>
        <w:spacing w:line="240" w:lineRule="auto"/>
        <w:rPr>
          <w:rFonts w:ascii="Arial" w:hAnsi="Arial" w:cs="Arial"/>
          <w:color w:val="000000" w:themeColor="text1"/>
          <w:sz w:val="24"/>
          <w:szCs w:val="24"/>
        </w:rPr>
      </w:pPr>
      <w:r w:rsidRPr="003729D7">
        <w:rPr>
          <w:rFonts w:ascii="Arial" w:hAnsi="Arial" w:cs="Arial"/>
        </w:rPr>
        <w:t>20 moving forward, taking care of yourself first to maintain health and wellness</w:t>
      </w:r>
    </w:p>
    <w:p w:rsidR="00375873" w:rsidRPr="00E04B48" w:rsidP="00CC477A">
      <w:pPr>
        <w:spacing w:line="240" w:lineRule="auto"/>
        <w:rPr>
          <w:rFonts w:ascii="Arial" w:hAnsi="Arial" w:cs="Arial"/>
          <w:b/>
          <w:sz w:val="24"/>
          <w:szCs w:val="24"/>
        </w:rPr>
      </w:pPr>
      <w:r w:rsidRPr="003729D7">
        <w:rPr>
          <w:rFonts w:ascii="Arial" w:hAnsi="Arial" w:cs="Arial"/>
          <w:b/>
          <w:sz w:val="24"/>
          <w:szCs w:val="24"/>
        </w:rPr>
        <w:t>Target Audience</w:t>
      </w:r>
      <w:r w:rsidR="00E04B48">
        <w:rPr>
          <w:rFonts w:ascii="Arial" w:hAnsi="Arial" w:cs="Arial"/>
          <w:b/>
          <w:sz w:val="24"/>
          <w:szCs w:val="24"/>
        </w:rPr>
        <w:t xml:space="preserve"> </w:t>
      </w:r>
    </w:p>
    <w:p w:rsidR="003729D7" w:rsidRPr="003729D7" w:rsidP="00CC477A">
      <w:pPr>
        <w:spacing w:line="240" w:lineRule="auto"/>
        <w:rPr>
          <w:rFonts w:ascii="Arial" w:hAnsi="Arial" w:cs="Arial"/>
          <w:b/>
          <w:bCs/>
          <w:noProof/>
          <w:sz w:val="24"/>
          <w:szCs w:val="24"/>
        </w:rPr>
      </w:pPr>
      <w:r w:rsidRPr="003729D7">
        <w:rPr>
          <w:rFonts w:ascii="Arial" w:hAnsi="Arial"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19"/>
        <w:gridCol w:w="3019"/>
        <w:gridCol w:w="4025"/>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commercial interest/Nature of relationship</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Vanessa Graves, Assoc of Arts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Hannah Beels, BHSA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- 10/05/2021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Linda Murray, BBA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- 05/25/2021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Bastien, DNP, Nurse Practitioner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Haythem 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Fee-Genentech, Inc.|Consulting Fee-AstraZeneca|Consulting Fee-Biotheranostics - 08/04/2021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Amponsah,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Cahill,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Desgrange,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Nada Farhat,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Claude Johnson, CRNA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King,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- 10/11/2021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Breeda Miller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Payne , NP-C, MSN, ACRN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- 04/05/2021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Ainslee Rubino,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Leslie Thompson,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- 09/27/2021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Lynn Vogt, Bachelor's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Andrea Ciaravino,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- 01/25/2021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Derrick, MS, Community Health Nursing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- 08/16/2021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Hicks,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Emmylou Landicho,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Malliett,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- 08/02/2021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Onofrey ,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Alice Schuster, MSN, ACNP-BC,ACNS-BC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Leeah Sloan,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Wasmund,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Leeann Wickens,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Yang,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Zanini, CNP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- 08/16/2021</w:t>
            </w:r>
          </w:p>
        </w:tc>
      </w:tr>
    </w:tbl>
    <w:p w:rsidR="00375873" w:rsidRPr="00060FDA">
      <w:pPr>
        <w:bidi w:val="0"/>
        <w:spacing w:after="280" w:afterAutospacing="1"/>
        <w:rPr>
          <w:rFonts w:ascii="Arial" w:hAnsi="Arial" w:cs="Arial"/>
          <w:b/>
          <w:bCs/>
          <w:noProof/>
          <w:sz w:val="24"/>
          <w:szCs w:val="24"/>
        </w:rPr>
      </w:pPr>
    </w:p>
    <w:p w:rsidR="00CC477A" w:rsidRPr="003E5D6E" w:rsidP="00CC477A">
      <w:pPr>
        <w:spacing w:line="240" w:lineRule="auto"/>
        <w:rPr>
          <w:rFonts w:ascii="Arial" w:hAnsi="Arial" w:cs="Arial"/>
          <w:sz w:val="20"/>
          <w:szCs w:val="20"/>
        </w:rPr>
      </w:pPr>
      <w:r w:rsidRPr="003E5D6E">
        <w:rPr>
          <w:rFonts w:ascii="Arial" w:hAnsi="Arial" w:cs="Arial"/>
          <w:b/>
          <w:bCs/>
          <w:sz w:val="20"/>
          <w:szCs w:val="20"/>
        </w:rPr>
        <w:t xml:space="preserve">ACCREDITATION STATEMENT: </w:t>
      </w:r>
      <w:r w:rsidRPr="003E5D6E" w:rsidR="00053C8D">
        <w:rPr>
          <w:rFonts w:ascii="Arial" w:hAnsi="Arial" w:cs="Arial"/>
          <w:b/>
          <w:bCs/>
          <w:sz w:val="20"/>
          <w:szCs w:val="20"/>
        </w:rPr>
        <w:t>Henry Ford Health System</w:t>
      </w:r>
      <w:r w:rsidRPr="003E5D6E">
        <w:rPr>
          <w:rFonts w:ascii="Arial" w:hAnsi="Arial" w:cs="Arial"/>
          <w:sz w:val="20"/>
          <w:szCs w:val="20"/>
        </w:rPr>
        <w:t xml:space="preserve"> is accredited by the Accreditation Council for Continuing Medical Education (ACCME) to provide continuing medical education for physicians.</w:t>
      </w:r>
    </w:p>
    <w:p w:rsidR="00993B4D" w:rsidP="003B6C7B">
      <w:pPr>
        <w:spacing w:line="240" w:lineRule="auto"/>
        <w:rPr>
          <w:rFonts w:ascii="Arial" w:hAnsi="Arial" w:cs="Arial"/>
          <w:sz w:val="20"/>
          <w:szCs w:val="20"/>
        </w:rPr>
      </w:pPr>
      <w:r w:rsidRPr="003E5D6E">
        <w:rPr>
          <w:rFonts w:ascii="Arial" w:hAnsi="Arial" w:cs="Arial"/>
          <w:b/>
          <w:bCs/>
          <w:sz w:val="20"/>
          <w:szCs w:val="20"/>
        </w:rPr>
        <w:t>DESIGNATION STATEMENT:</w:t>
      </w:r>
      <w:r w:rsidRPr="003E5D6E">
        <w:rPr>
          <w:b/>
          <w:bCs/>
          <w:sz w:val="20"/>
          <w:szCs w:val="20"/>
        </w:rPr>
        <w:t xml:space="preserve"> </w:t>
      </w:r>
      <w:r w:rsidRPr="003E5D6E" w:rsidR="00903F8E">
        <w:rPr>
          <w:rFonts w:ascii="Arial" w:hAnsi="Arial" w:cs="Arial"/>
          <w:b/>
          <w:bCs/>
          <w:sz w:val="20"/>
          <w:szCs w:val="20"/>
        </w:rPr>
        <w:t>Henry Ford Health System</w:t>
      </w:r>
      <w:r w:rsidRPr="003E5D6E" w:rsidR="00CC477A">
        <w:rPr>
          <w:rFonts w:ascii="Arial" w:hAnsi="Arial" w:cs="Arial"/>
          <w:sz w:val="20"/>
          <w:szCs w:val="20"/>
        </w:rPr>
        <w:t xml:space="preserve"> </w:t>
      </w:r>
      <w:r w:rsidRPr="003E5D6E">
        <w:rPr>
          <w:rFonts w:ascii="Arial" w:hAnsi="Arial" w:cs="Arial"/>
          <w:sz w:val="20"/>
          <w:szCs w:val="20"/>
        </w:rPr>
        <w:t xml:space="preserve">designates this educational activity for a maximum of </w:t>
      </w:r>
      <w:r w:rsidRPr="003E5D6E" w:rsidR="00E04B48">
        <w:rPr>
          <w:rFonts w:ascii="Arial" w:hAnsi="Arial" w:cs="Arial"/>
          <w:noProof/>
          <w:sz w:val="20"/>
          <w:szCs w:val="20"/>
        </w:rPr>
        <w:t>4.50</w:t>
      </w:r>
      <w:r w:rsidRPr="003E5D6E">
        <w:rPr>
          <w:rFonts w:ascii="Arial" w:hAnsi="Arial" w:cs="Arial"/>
          <w:sz w:val="20"/>
          <w:szCs w:val="20"/>
        </w:rPr>
        <w:t xml:space="preserve"> AMA PRA Category 1 Credit</w:t>
      </w:r>
      <w:r w:rsidRPr="003E5D6E" w:rsidR="00877E7B">
        <w:rPr>
          <w:rFonts w:ascii="Arial" w:hAnsi="Arial" w:cs="Arial"/>
          <w:sz w:val="20"/>
          <w:szCs w:val="20"/>
        </w:rPr>
        <w:t>(s)</w:t>
      </w:r>
      <w:r w:rsidRPr="003E5D6E" w:rsidR="00053C8D">
        <w:rPr>
          <w:rFonts w:ascii="Arial" w:hAnsi="Arial" w:cs="Arial"/>
          <w:sz w:val="20"/>
          <w:szCs w:val="20"/>
        </w:rPr>
        <w:t>™</w:t>
      </w:r>
      <w:r w:rsidRPr="003E5D6E">
        <w:rPr>
          <w:rFonts w:ascii="Arial" w:hAnsi="Arial" w:cs="Arial"/>
          <w:sz w:val="20"/>
          <w:szCs w:val="20"/>
        </w:rPr>
        <w:t>. Physicians should only claim credit commensurate with the extent of their participation in the activity.</w:t>
      </w:r>
    </w:p>
    <w:p w:rsidR="003E5D6E" w:rsidP="003B6C7B">
      <w:pPr>
        <w:spacing w:line="240" w:lineRule="auto"/>
        <w:rPr>
          <w:rFonts w:ascii="Arial" w:hAnsi="Arial" w:cs="Arial"/>
          <w:sz w:val="20"/>
          <w:szCs w:val="20"/>
        </w:rPr>
      </w:pPr>
      <w:r w:rsidRPr="003E5D6E">
        <w:rPr>
          <w:rFonts w:ascii="Arial" w:hAnsi="Arial" w:cs="Arial"/>
          <w:b/>
          <w:bCs/>
          <w:sz w:val="20"/>
          <w:szCs w:val="20"/>
        </w:rPr>
        <w:t>FACULTY/PLANNING COMMITTEE DISCLOSURE STATEMENT:</w:t>
      </w:r>
      <w:r w:rsidRPr="003E5D6E">
        <w:rPr>
          <w:rFonts w:ascii="Arial" w:hAnsi="Arial"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007D5D04">
        <w:rPr>
          <w:rFonts w:ascii="Arial" w:hAnsi="Arial" w:cs="Arial"/>
          <w:sz w:val="20"/>
          <w:szCs w:val="20"/>
        </w:rPr>
        <w:t>24</w:t>
      </w:r>
      <w:r w:rsidRPr="003E5D6E">
        <w:rPr>
          <w:rFonts w:ascii="Arial" w:hAnsi="Arial" w:cs="Arial"/>
          <w:sz w:val="20"/>
          <w:szCs w:val="20"/>
        </w:rPr>
        <w:t xml:space="preserve"> months and/or any non-FDA approved use of a drug or a device that is included in the presentation.</w:t>
      </w:r>
      <w:r w:rsidR="007D5D04">
        <w:rPr>
          <w:rFonts w:ascii="Arial" w:hAnsi="Arial" w:cs="Arial"/>
          <w:sz w:val="20"/>
          <w:szCs w:val="20"/>
        </w:rPr>
        <w:t xml:space="preserve"> All relevant financial relationships have been mitigated. </w:t>
      </w:r>
    </w:p>
    <w:p w:rsidR="00B740AA" w:rsidRPr="00B740AA" w:rsidP="003B6C7B">
      <w:pPr>
        <w:spacing w:line="240" w:lineRule="auto"/>
        <w:rPr>
          <w:rFonts w:ascii="Arial" w:hAnsi="Arial" w:cs="Arial"/>
          <w:sz w:val="20"/>
          <w:szCs w:val="20"/>
        </w:rPr>
      </w:pPr>
      <w:r w:rsidRPr="00B740AA">
        <w:rPr>
          <w:rFonts w:ascii="Arial" w:hAnsi="Arial" w:cs="Arial"/>
          <w:b/>
          <w:bCs/>
          <w:sz w:val="20"/>
          <w:szCs w:val="20"/>
        </w:rPr>
        <w:t>ACCESSIBILITY STATEMENT</w:t>
      </w:r>
      <w:r>
        <w:rPr>
          <w:rFonts w:ascii="Arial" w:hAnsi="Arial" w:cs="Arial"/>
          <w:b/>
          <w:bCs/>
          <w:sz w:val="20"/>
          <w:szCs w:val="20"/>
        </w:rPr>
        <w:t xml:space="preserve">: </w:t>
      </w:r>
      <w:r w:rsidRPr="00B740AA">
        <w:rPr>
          <w:rFonts w:ascii="Arial" w:hAnsi="Arial" w:cs="Arial"/>
          <w:sz w:val="20"/>
          <w:szCs w:val="20"/>
        </w:rPr>
        <w:t>Henry Ford Health System Office of Continu</w:t>
      </w:r>
      <w:r w:rsidR="00F42D99">
        <w:rPr>
          <w:rFonts w:ascii="Arial" w:hAnsi="Arial" w:cs="Arial"/>
          <w:sz w:val="20"/>
          <w:szCs w:val="20"/>
        </w:rPr>
        <w:t xml:space="preserve">ing Medical Education is committed to ensuring that its programs, services, goods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375873" w:rsidRPr="003E5D6E" w:rsidP="006A623D">
      <w:pPr>
        <w:spacing w:line="240" w:lineRule="auto"/>
        <w:rPr>
          <w:rFonts w:ascii="Arial" w:hAnsi="Arial" w:cs="Arial"/>
          <w:sz w:val="20"/>
          <w:szCs w:val="20"/>
        </w:rPr>
      </w:pPr>
    </w:p>
    <w:p w:rsidR="00993B4D" w:rsidRPr="003E5D6E" w:rsidP="006A623D">
      <w:pPr>
        <w:spacing w:line="240" w:lineRule="auto"/>
        <w:rPr>
          <w:rFonts w:ascii="Arial" w:hAnsi="Arial" w:cs="Arial"/>
          <w:sz w:val="20"/>
          <w:szCs w:val="20"/>
        </w:rPr>
      </w:pPr>
      <w:r w:rsidRPr="003E5D6E">
        <w:rPr>
          <w:rFonts w:ascii="Arial" w:hAnsi="Arial" w:cs="Arial"/>
          <w:sz w:val="20"/>
          <w:szCs w:val="20"/>
        </w:rPr>
        <w:fldChar w:fldCharType="begin"/>
      </w:r>
      <w:r w:rsidRPr="003E5D6E">
        <w:rPr>
          <w:rFonts w:ascii="Arial" w:hAnsi="Arial" w:cs="Arial"/>
          <w:sz w:val="20"/>
          <w:szCs w:val="20"/>
        </w:rPr>
        <w:instrText xml:space="preserve"> IF  </w:instrText>
      </w:r>
      <w:r w:rsidRPr="003E5D6E" w:rsidR="00781A36">
        <w:rPr>
          <w:rFonts w:ascii="Arial" w:hAnsi="Arial" w:cs="Arial"/>
          <w:sz w:val="20"/>
          <w:szCs w:val="20"/>
        </w:rPr>
        <w:instrText>"</w:instrText>
      </w:r>
      <w:r w:rsidRPr="003E5D6E" w:rsidR="00781A36">
        <w:rPr>
          <w:rFonts w:ascii="Arial" w:hAnsi="Arial" w:cs="Arial"/>
          <w:sz w:val="20"/>
          <w:szCs w:val="20"/>
        </w:rPr>
        <w:instrText>"</w:instrText>
      </w:r>
      <w:r w:rsidRPr="003E5D6E" w:rsidR="00781A36">
        <w:rPr>
          <w:rFonts w:ascii="Arial" w:hAnsi="Arial" w:cs="Arial"/>
          <w:sz w:val="20"/>
          <w:szCs w:val="20"/>
        </w:rPr>
        <w:instrText xml:space="preserve"> &lt;&gt; "" "If you have questions, please email </w:instrText>
      </w:r>
      <w:r w:rsidRPr="003E5D6E" w:rsidR="00781A36">
        <w:rPr>
          <w:rFonts w:ascii="Arial" w:hAnsi="Arial" w:cs="Arial"/>
          <w:sz w:val="20"/>
          <w:szCs w:val="20"/>
        </w:rPr>
        <w:fldChar w:fldCharType="begin"/>
      </w:r>
      <w:r w:rsidRPr="003E5D6E" w:rsidR="00781A36">
        <w:rPr>
          <w:rFonts w:ascii="Arial" w:hAnsi="Arial" w:cs="Arial"/>
          <w:sz w:val="20"/>
          <w:szCs w:val="20"/>
        </w:rPr>
        <w:instrText xml:space="preserve"> MERGEFIELD Coordinator \* MERGEFORMAT </w:instrText>
      </w:r>
      <w:r w:rsidRPr="003E5D6E" w:rsidR="00781A36">
        <w:rPr>
          <w:rFonts w:ascii="Arial" w:hAnsi="Arial" w:cs="Arial"/>
          <w:sz w:val="20"/>
          <w:szCs w:val="20"/>
        </w:rPr>
        <w:fldChar w:fldCharType="separate"/>
      </w:r>
      <w:r w:rsidRPr="003E5D6E" w:rsidR="00781A36">
        <w:rPr>
          <w:rFonts w:ascii="Arial" w:hAnsi="Arial" w:cs="Arial"/>
          <w:noProof/>
          <w:sz w:val="20"/>
          <w:szCs w:val="20"/>
        </w:rPr>
        <w:instrText>«Coordinator»</w:instrText>
      </w:r>
      <w:r w:rsidRPr="003E5D6E" w:rsidR="00781A36">
        <w:rPr>
          <w:rFonts w:ascii="Arial" w:hAnsi="Arial" w:cs="Arial"/>
          <w:sz w:val="20"/>
          <w:szCs w:val="20"/>
        </w:rPr>
        <w:fldChar w:fldCharType="end"/>
      </w:r>
      <w:r w:rsidRPr="003E5D6E" w:rsidR="00781A36">
        <w:rPr>
          <w:rFonts w:ascii="Arial" w:hAnsi="Arial" w:cs="Arial"/>
          <w:sz w:val="20"/>
          <w:szCs w:val="20"/>
        </w:rPr>
        <w:instrText xml:space="preserve"> at </w:instrText>
      </w:r>
      <w:r w:rsidRPr="003E5D6E" w:rsidR="00781A36">
        <w:rPr>
          <w:rFonts w:ascii="Arial" w:hAnsi="Arial" w:cs="Arial"/>
          <w:sz w:val="20"/>
          <w:szCs w:val="20"/>
        </w:rPr>
        <w:fldChar w:fldCharType="begin"/>
      </w:r>
      <w:r w:rsidRPr="003E5D6E" w:rsidR="00781A36">
        <w:rPr>
          <w:rFonts w:ascii="Arial" w:hAnsi="Arial" w:cs="Arial"/>
          <w:sz w:val="20"/>
          <w:szCs w:val="20"/>
        </w:rPr>
        <w:instrText xml:space="preserve"> MERGEFIELD CoordinatorEmail \* MERGEFORMAT </w:instrText>
      </w:r>
      <w:r w:rsidRPr="003E5D6E" w:rsidR="00781A36">
        <w:rPr>
          <w:rFonts w:ascii="Arial" w:hAnsi="Arial" w:cs="Arial"/>
          <w:sz w:val="20"/>
          <w:szCs w:val="20"/>
        </w:rPr>
        <w:fldChar w:fldCharType="separate"/>
      </w:r>
      <w:r w:rsidRPr="003E5D6E" w:rsidR="00781A36">
        <w:rPr>
          <w:rFonts w:ascii="Arial" w:hAnsi="Arial" w:cs="Arial"/>
          <w:noProof/>
          <w:sz w:val="20"/>
          <w:szCs w:val="20"/>
        </w:rPr>
        <w:instrText>«CoordinatorEmail»</w:instrText>
      </w:r>
      <w:r w:rsidRPr="003E5D6E" w:rsidR="00781A36">
        <w:rPr>
          <w:rFonts w:ascii="Arial" w:hAnsi="Arial" w:cs="Arial"/>
          <w:sz w:val="20"/>
          <w:szCs w:val="20"/>
        </w:rPr>
        <w:fldChar w:fldCharType="end"/>
      </w:r>
      <w:r w:rsidRPr="003E5D6E" w:rsidR="00781A36">
        <w:rPr>
          <w:rFonts w:ascii="Arial" w:hAnsi="Arial" w:cs="Arial"/>
          <w:sz w:val="20"/>
          <w:szCs w:val="20"/>
        </w:rPr>
        <w:instrText xml:space="preserve">." "" </w:instrText>
      </w:r>
      <w:r w:rsidRPr="003E5D6E">
        <w:rPr>
          <w:rFonts w:ascii="Arial" w:hAnsi="Arial" w:cs="Arial"/>
          <w:sz w:val="20"/>
          <w:szCs w:val="20"/>
        </w:rPr>
        <w:instrText xml:space="preserve">\* MERGEFORMAT </w:instrText>
      </w:r>
      <w:r w:rsidRPr="003E5D6E">
        <w:rPr>
          <w:rFonts w:ascii="Arial" w:hAnsi="Arial" w:cs="Arial"/>
          <w:sz w:val="20"/>
          <w:szCs w:val="20"/>
        </w:rPr>
        <w:fldChar w:fldCharType="separate"/>
      </w:r>
      <w:r w:rsidRPr="003E5D6E">
        <w:rPr>
          <w:rFonts w:ascii="Arial" w:hAnsi="Arial" w:cs="Arial"/>
          <w:sz w:val="20"/>
          <w:szCs w:val="20"/>
        </w:rPr>
        <w:fldChar w:fldCharType="end"/>
      </w:r>
    </w:p>
    <w:sectPr w:rsidSect="00FE0264">
      <w:pgSz w:w="12240" w:h="15840"/>
      <w:pgMar w:top="1008" w:right="1008"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Square, Tyrone</cp:lastModifiedBy>
  <cp:revision>3</cp:revision>
  <dcterms:created xsi:type="dcterms:W3CDTF">2021-04-26T12:24:00Z</dcterms:created>
  <dcterms:modified xsi:type="dcterms:W3CDTF">2021-05-03T12:23:00Z</dcterms:modified>
</cp:coreProperties>
</file>