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815BB5" w:rsidP="006A623D">
      <w:pPr>
        <w:spacing w:line="240" w:lineRule="auto"/>
        <w:rPr>
          <w:rFonts w:ascii="Arial" w:hAnsi="Arial" w:cs="Arial"/>
          <w:b/>
          <w:noProof/>
          <w:sz w:val="28"/>
          <w:szCs w:val="28"/>
        </w:rPr>
      </w:pPr>
      <w:r w:rsidRPr="003729D7">
        <w:rPr>
          <w:rFonts w:ascii="Arial" w:hAnsi="Arial" w:cs="Arial"/>
          <w:noProof/>
        </w:rPr>
        <w:drawing>
          <wp:inline distT="0" distB="0" distL="0" distR="0">
            <wp:extent cx="3556000" cy="1282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 logo.png"/>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56000" cy="1282700"/>
                    </a:xfrm>
                    <a:prstGeom prst="rect">
                      <a:avLst/>
                    </a:prstGeom>
                  </pic:spPr>
                </pic:pic>
              </a:graphicData>
            </a:graphic>
          </wp:inline>
        </w:drawing>
      </w:r>
      <w:r w:rsidRPr="003729D7" w:rsidR="004D5DAE">
        <w:rPr>
          <w:rFonts w:ascii="Arial" w:hAnsi="Arial" w:cs="Arial"/>
        </w:rPr>
        <w:br/>
      </w:r>
      <w:r w:rsidRPr="003729D7" w:rsidR="007B0FAA">
        <w:rPr>
          <w:rFonts w:ascii="Arial" w:hAnsi="Arial" w:cs="Arial"/>
          <w:b/>
          <w:color w:val="31849B" w:themeColor="accent5" w:themeShade="BF"/>
          <w:sz w:val="28"/>
          <w:szCs w:val="28"/>
        </w:rPr>
        <w:br/>
      </w:r>
      <w:r w:rsidRPr="005220D6" w:rsidR="005220D6">
        <w:rPr>
          <w:rFonts w:ascii="Arial" w:hAnsi="Arial" w:cs="Arial"/>
          <w:b/>
          <w:bCs/>
          <w:noProof/>
          <w:sz w:val="28"/>
          <w:szCs w:val="28"/>
        </w:rPr>
        <w:t>HFPN (</w:t>
      </w:r>
      <w:r w:rsidRPr="005220D6" w:rsidR="005220D6">
        <w:rPr>
          <w:rFonts w:ascii="Arial" w:hAnsi="Arial" w:cs="Arial"/>
          <w:b/>
          <w:bCs/>
          <w:sz w:val="28"/>
          <w:szCs w:val="28"/>
        </w:rPr>
        <w:t>Henry Ford Physician Network) Summit 2021, Building Bridges to the Future</w:t>
      </w:r>
      <w:r w:rsidRPr="005220D6" w:rsidR="00993B4D">
        <w:rPr>
          <w:rFonts w:ascii="Arial" w:hAnsi="Arial" w:cs="Arial"/>
          <w:b/>
          <w:noProof/>
          <w:sz w:val="28"/>
          <w:szCs w:val="28"/>
        </w:rPr>
        <w:t xml:space="preserve"> </w:t>
      </w:r>
      <w:r w:rsidRPr="005220D6" w:rsidR="005220D6">
        <w:rPr>
          <w:rFonts w:ascii="Arial" w:hAnsi="Arial" w:cs="Arial"/>
          <w:b/>
          <w:noProof/>
          <w:sz w:val="28"/>
          <w:szCs w:val="28"/>
        </w:rPr>
        <w:t>|</w:t>
      </w:r>
      <w:r w:rsidR="005220D6">
        <w:rPr>
          <w:rFonts w:ascii="Arial" w:hAnsi="Arial" w:cs="Arial"/>
          <w:b/>
          <w:noProof/>
          <w:sz w:val="28"/>
          <w:szCs w:val="28"/>
        </w:rPr>
        <w:t xml:space="preserve"> </w:t>
      </w:r>
      <w:r w:rsidR="005220D6">
        <w:rPr>
          <w:rFonts w:ascii="Arial" w:hAnsi="Arial" w:cs="Arial"/>
          <w:b/>
          <w:noProof/>
          <w:sz w:val="28"/>
          <w:szCs w:val="28"/>
        </w:rPr>
        <w:t>11/6</w:t>
      </w:r>
      <w:r w:rsidR="005220D6">
        <w:rPr>
          <w:rFonts w:ascii="Arial" w:hAnsi="Arial" w:cs="Arial"/>
          <w:b/>
          <w:noProof/>
          <w:sz w:val="28"/>
          <w:szCs w:val="28"/>
        </w:rPr>
        <w:t>/2021 8:00:00 AM</w:t>
      </w:r>
      <w:r w:rsidR="00FE207D">
        <w:rPr>
          <w:rFonts w:ascii="Arial" w:hAnsi="Arial" w:cs="Arial"/>
          <w:b/>
          <w:noProof/>
          <w:sz w:val="28"/>
          <w:szCs w:val="28"/>
        </w:rPr>
        <w:t xml:space="preserve"> </w:t>
      </w:r>
      <w:r>
        <w:rPr>
          <w:rFonts w:ascii="Arial" w:hAnsi="Arial" w:cs="Arial"/>
          <w:b/>
          <w:noProof/>
          <w:sz w:val="28"/>
          <w:szCs w:val="28"/>
        </w:rPr>
        <w:t>Webex</w:t>
      </w:r>
    </w:p>
    <w:p w:rsidR="00375873">
      <w:pPr>
        <w:bidi w:val="0"/>
        <w:spacing w:after="280" w:afterAutospacing="1"/>
        <w:rPr>
          <w:rFonts w:ascii="Arial" w:hAnsi="Arial" w:cs="Arial"/>
          <w:sz w:val="24"/>
        </w:rPr>
      </w:pPr>
      <w:r>
        <w:rPr>
          <w:rtl w:val="0"/>
        </w:rPr>
        <w:t xml:space="preserve">HFPN Summit 2021, Building Bridges to the Future, features an encompassing theme of value for our patients. We will share how lessons learned from the pandemic will help shape and drive the care delivery for our entire patient population. </w:t>
      </w:r>
    </w:p>
    <w:p>
      <w:pPr>
        <w:bidi w:val="0"/>
        <w:spacing w:after="280" w:afterAutospacing="1"/>
        <w:rPr>
          <w:rtl w:val="0"/>
        </w:rPr>
      </w:pPr>
      <w:r>
        <w:rPr>
          <w:rtl w:val="0"/>
        </w:rPr>
        <w:t>HFHS Chief Clinical Officer Adnan Munkarah, MD and HFPN President and CEO Bruce Muma, MD will welcome the audience and introduce the day’s topic of value in patient care.</w:t>
      </w:r>
    </w:p>
    <w:p>
      <w:pPr>
        <w:bidi w:val="0"/>
        <w:spacing w:after="280" w:afterAutospacing="1"/>
        <w:rPr>
          <w:rtl w:val="0"/>
        </w:rPr>
      </w:pPr>
      <w:r>
        <w:rPr>
          <w:rtl w:val="0"/>
        </w:rPr>
        <w:t xml:space="preserve">Eric Makhni, MD, Medical Director, Center for Patient Reported Outcome Measures, HFMG, will explain how meeting patients where they are today and understanding their perceived satisfaction with care outcomes can increase the value of care provided. Brief videos will feature some of the advancements offered our patient population, such as the Mobile Integrated Health Unit (MIH) which provides greatly needed services to patients right in their homes along with the HFHS Innovation Institute’s handheld ultrasound and the value of being able to perform ultrasonic studies anywhere. </w:t>
      </w:r>
    </w:p>
    <w:p>
      <w:pPr>
        <w:bidi w:val="0"/>
        <w:spacing w:after="280" w:afterAutospacing="1"/>
        <w:rPr>
          <w:rtl w:val="0"/>
        </w:rPr>
      </w:pPr>
      <w:r>
        <w:rPr>
          <w:rtl w:val="0"/>
        </w:rPr>
        <w:t xml:space="preserve">HFHS Senior VP and CIO Paul Browne and Dr. Joyce Leon, MD, Medical Director of Population Health will explain the necessity and value of connectivity of electronic medical records and how real-time bidirectional data sharing adds value to patient care. </w:t>
      </w:r>
    </w:p>
    <w:p>
      <w:pPr>
        <w:bidi w:val="0"/>
        <w:spacing w:after="280" w:afterAutospacing="1"/>
        <w:rPr>
          <w:rtl w:val="0"/>
        </w:rPr>
      </w:pPr>
      <w:r>
        <w:rPr>
          <w:rtl w:val="0"/>
        </w:rPr>
        <w:t xml:space="preserve">Keynote speaker, Dr. Aletha Maybank, MD, Chief Health Equity Officer and Vice President of the American Medical Association will discuss diversity, equity, inclusion and justice in practice and in practices—how we cannot have value in health care until there is equity in healthcare. A summary of her presentation is as follows: Structural racism is a system of power and oppression that structures opportunities and assigns value based on race, disadvantaging people of color, while advantaging whites. This creates differential access to health care, education, housing, employment, and criminal justice. Racism impacts the mental, emotional, spiritual, and physical health of people of color. In my talk, I will discuss how dismantling systems of oppression is the work of us all and the AMA’s role in advancing health equity. </w:t>
      </w:r>
    </w:p>
    <w:p>
      <w:pPr>
        <w:bidi w:val="0"/>
        <w:spacing w:after="280" w:afterAutospacing="1"/>
        <w:rPr>
          <w:rtl w:val="0"/>
        </w:rPr>
      </w:pPr>
      <w:r>
        <w:rPr>
          <w:rtl w:val="0"/>
        </w:rPr>
        <w:t>Learning Objectives:</w:t>
      </w:r>
    </w:p>
    <w:p>
      <w:pPr>
        <w:bidi w:val="0"/>
        <w:spacing w:after="280" w:afterAutospacing="1"/>
        <w:rPr>
          <w:rtl w:val="0"/>
        </w:rPr>
      </w:pPr>
      <w:r>
        <w:rPr>
          <w:rtl w:val="0"/>
        </w:rPr>
        <w:t>• At the end of this session, learners will understand what structural and systemic racism is, and how it is presented in the practice of medicine.</w:t>
      </w:r>
    </w:p>
    <w:p>
      <w:pPr>
        <w:bidi w:val="0"/>
        <w:spacing w:after="280" w:afterAutospacing="1"/>
        <w:rPr>
          <w:rtl w:val="0"/>
        </w:rPr>
      </w:pPr>
      <w:r>
        <w:rPr>
          <w:rtl w:val="0"/>
        </w:rPr>
        <w:t>• Learners will be able to identify specific actions organized medicine can take to help dismantle systemic racism.</w:t>
      </w:r>
    </w:p>
    <w:p>
      <w:pPr>
        <w:bidi w:val="0"/>
        <w:spacing w:after="280" w:afterAutospacing="1"/>
        <w:rPr>
          <w:rtl w:val="0"/>
        </w:rPr>
      </w:pPr>
      <w:r>
        <w:rPr>
          <w:rtl w:val="0"/>
        </w:rPr>
        <w:t>• Learners will be able to identify ways in which racism and other forms of inequity and both overt and systemic discrimination negatively impact human health, and actions they can take to help deconstruct these systems for their patients and communities.</w:t>
      </w:r>
    </w:p>
    <w:p>
      <w:pPr>
        <w:bidi w:val="0"/>
        <w:spacing w:after="280" w:afterAutospacing="1"/>
        <w:rPr>
          <w:rtl w:val="0"/>
        </w:rPr>
      </w:pPr>
      <w:r>
        <w:rPr>
          <w:rtl w:val="0"/>
        </w:rPr>
        <w:t xml:space="preserve">Next we will share a brief video explaining and demonstrating QURE, an online training tool which will be offered to HFPN physicians as a best practice form of training on how improved decision making positively affects patients. </w:t>
      </w:r>
    </w:p>
    <w:p>
      <w:pPr>
        <w:bidi w:val="0"/>
        <w:spacing w:after="280" w:afterAutospacing="1"/>
        <w:rPr>
          <w:rtl w:val="0"/>
        </w:rPr>
      </w:pPr>
      <w:r>
        <w:rPr>
          <w:rtl w:val="0"/>
        </w:rPr>
        <w:t xml:space="preserve">To complete our program, Martina Caldwell, MD, HFMG Medical Director of Diversity and Inclusion, will moderate a panel discussion focused on how we can raise consciousness of equity in healthcare, navigate patient expectations and address the incurred psychological burden from the pandemic. </w:t>
      </w:r>
    </w:p>
    <w:p>
      <w:pPr>
        <w:bidi w:val="0"/>
        <w:spacing w:after="280" w:afterAutospacing="1"/>
        <w:rPr>
          <w:rtl w:val="0"/>
        </w:rPr>
      </w:pPr>
      <w:r>
        <w:rPr>
          <w:rtl w:val="0"/>
        </w:rPr>
        <w:t xml:space="preserve">Lamont Jones, MD, HFMG will discuss health disparities and the use of virtual care; Doree Ann Espiritu, MD, HFMG will address the psychological burnout of caregivers and psychological trauma of both patients and caregivers. Additional members of the Henry Ford Physician Network will be called upon to discuss how independent practices are recognizing health literacy issues and access, and accelerating care for underserved populations. </w:t>
      </w:r>
    </w:p>
    <w:p w:rsidR="00676202" w:rsidRPr="003729D7">
      <w:pPr>
        <w:bidi w:val="0"/>
        <w:spacing w:after="280" w:afterAutospacing="1"/>
        <w:rPr>
          <w:rFonts w:ascii="Arial" w:hAnsi="Arial" w:cs="Arial"/>
          <w:noProof/>
          <w:color w:val="000000" w:themeColor="text1"/>
          <w:sz w:val="24"/>
          <w:szCs w:val="24"/>
        </w:rPr>
      </w:pPr>
    </w:p>
    <w:p w:rsidR="00B635C4" w:rsidRPr="003729D7" w:rsidP="006A623D">
      <w:pPr>
        <w:spacing w:line="240" w:lineRule="auto"/>
        <w:rPr>
          <w:rFonts w:ascii="Arial" w:hAnsi="Arial" w:cs="Arial"/>
          <w:sz w:val="24"/>
        </w:rPr>
      </w:pPr>
    </w:p>
    <w:p w:rsidR="00815BB5" w:rsidP="006A623D">
      <w:pPr>
        <w:spacing w:line="240" w:lineRule="auto"/>
        <w:rPr>
          <w:rFonts w:ascii="Arial" w:hAnsi="Arial" w:cs="Arial"/>
          <w:b/>
          <w:sz w:val="24"/>
          <w:szCs w:val="24"/>
        </w:rPr>
      </w:pPr>
      <w:r w:rsidRPr="003729D7">
        <w:rPr>
          <w:rFonts w:ascii="Arial" w:hAnsi="Arial" w:cs="Arial"/>
          <w:b/>
          <w:sz w:val="24"/>
          <w:szCs w:val="24"/>
        </w:rPr>
        <w:t>Program Goal</w:t>
      </w:r>
    </w:p>
    <w:p w:rsidR="00993B4D" w:rsidRPr="003729D7" w:rsidP="006A623D">
      <w:pPr>
        <w:spacing w:line="240" w:lineRule="auto"/>
        <w:rPr>
          <w:rFonts w:ascii="Arial" w:hAnsi="Arial" w:cs="Arial"/>
          <w:color w:val="000000" w:themeColor="text1"/>
          <w:sz w:val="24"/>
          <w:szCs w:val="24"/>
        </w:rPr>
      </w:pPr>
      <w:r w:rsidRPr="003729D7">
        <w:rPr>
          <w:rFonts w:ascii="Arial" w:hAnsi="Arial" w:cs="Arial"/>
          <w:noProof/>
          <w:sz w:val="24"/>
          <w:szCs w:val="24"/>
        </w:rPr>
        <w:t>1 Understand</w:t>
      </w:r>
      <w:r w:rsidRPr="003729D7">
        <w:rPr>
          <w:rFonts w:ascii="Arial" w:hAnsi="Arial" w:cs="Arial"/>
        </w:rPr>
        <w:t xml:space="preserve"> what structural and systemic racism is, and how it is presented in the practice of medicine</w:t>
      </w:r>
    </w:p>
    <w:p w:rsidRPr="003729D7" w:rsidP="006A623D">
      <w:pPr>
        <w:spacing w:line="240" w:lineRule="auto"/>
        <w:rPr>
          <w:rFonts w:ascii="Arial" w:hAnsi="Arial" w:cs="Arial"/>
        </w:rPr>
      </w:pPr>
      <w:r w:rsidRPr="003729D7">
        <w:rPr>
          <w:rFonts w:ascii="Arial" w:hAnsi="Arial" w:cs="Arial"/>
        </w:rPr>
        <w:t>2 Identify specific actions organized medicine can take to help dismantle systemic racism</w:t>
      </w:r>
    </w:p>
    <w:p w:rsidR="00993B4D" w:rsidRPr="003729D7" w:rsidP="006A623D">
      <w:pPr>
        <w:spacing w:line="240" w:lineRule="auto"/>
        <w:rPr>
          <w:rFonts w:ascii="Arial" w:hAnsi="Arial" w:cs="Arial"/>
          <w:color w:val="000000" w:themeColor="text1"/>
          <w:sz w:val="24"/>
          <w:szCs w:val="24"/>
        </w:rPr>
      </w:pPr>
      <w:r w:rsidRPr="003729D7">
        <w:rPr>
          <w:rFonts w:ascii="Arial" w:hAnsi="Arial" w:cs="Arial"/>
        </w:rPr>
        <w:t>3 Identify ways in which racism and other forms of inequity and both overt and systemic discrimination negatively impact human health, and actions they can take to help deconstruct these systems for their patients and communities</w:t>
      </w:r>
    </w:p>
    <w:p w:rsidR="00375873" w:rsidRPr="00E04B48" w:rsidP="00CC477A">
      <w:pPr>
        <w:spacing w:line="240" w:lineRule="auto"/>
        <w:rPr>
          <w:rFonts w:ascii="Arial" w:hAnsi="Arial" w:cs="Arial"/>
          <w:b/>
          <w:sz w:val="24"/>
          <w:szCs w:val="24"/>
        </w:rPr>
      </w:pPr>
      <w:r w:rsidRPr="003729D7">
        <w:rPr>
          <w:rFonts w:ascii="Arial" w:hAnsi="Arial" w:cs="Arial"/>
          <w:b/>
          <w:sz w:val="24"/>
          <w:szCs w:val="24"/>
        </w:rPr>
        <w:t>Target Audience</w:t>
      </w:r>
      <w:r w:rsidR="00E04B48">
        <w:rPr>
          <w:rFonts w:ascii="Arial" w:hAnsi="Arial" w:cs="Arial"/>
          <w:b/>
          <w:sz w:val="24"/>
          <w:szCs w:val="24"/>
        </w:rPr>
        <w:t xml:space="preserve"> </w:t>
      </w:r>
      <w:r w:rsidR="00BE6F87">
        <w:rPr>
          <w:rFonts w:ascii="Arial" w:hAnsi="Arial" w:cs="Arial"/>
          <w:noProof/>
        </w:rPr>
        <w:t>Internal Medicine</w:t>
      </w:r>
    </w:p>
    <w:p w:rsidR="003729D7" w:rsidRPr="003729D7" w:rsidP="00CC477A">
      <w:pPr>
        <w:spacing w:line="240" w:lineRule="auto"/>
        <w:rPr>
          <w:rFonts w:ascii="Arial" w:hAnsi="Arial" w:cs="Arial"/>
          <w:b/>
          <w:bCs/>
          <w:noProof/>
          <w:sz w:val="24"/>
          <w:szCs w:val="24"/>
        </w:rPr>
      </w:pPr>
      <w:r w:rsidRPr="003729D7">
        <w:rPr>
          <w:rFonts w:ascii="Arial" w:hAnsi="Arial"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Clark,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Porada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Renny Abraham,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Martina T Caldwell, MD, MS,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Doree Ann V. Espiritu,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Herman B Gray,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Lamont 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Bureau-AOCMF - 09/28/2021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Makhni,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Fee-Smith and Nephew - 10/06/2021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Aletha Maybank,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K Muma,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Adnan Munkarah,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- 10/06/2021</w:t>
            </w:r>
          </w:p>
        </w:tc>
      </w:tr>
    </w:tbl>
    <w:p w:rsidR="00375873" w:rsidRPr="00060FDA">
      <w:pPr>
        <w:bidi w:val="0"/>
        <w:spacing w:after="280" w:afterAutospacing="1"/>
        <w:rPr>
          <w:rFonts w:ascii="Arial" w:hAnsi="Arial" w:cs="Arial"/>
          <w:b/>
          <w:bCs/>
          <w:noProof/>
          <w:sz w:val="24"/>
          <w:szCs w:val="24"/>
        </w:rPr>
      </w:pPr>
    </w:p>
    <w:p w:rsidR="00CC477A" w:rsidRPr="003E5D6E" w:rsidP="00CC477A">
      <w:pPr>
        <w:spacing w:line="240" w:lineRule="auto"/>
        <w:rPr>
          <w:rFonts w:ascii="Arial" w:hAnsi="Arial" w:cs="Arial"/>
          <w:sz w:val="20"/>
          <w:szCs w:val="20"/>
        </w:rPr>
      </w:pPr>
      <w:r w:rsidRPr="003E5D6E">
        <w:rPr>
          <w:rFonts w:ascii="Arial" w:hAnsi="Arial" w:cs="Arial"/>
          <w:b/>
          <w:bCs/>
          <w:sz w:val="20"/>
          <w:szCs w:val="20"/>
        </w:rPr>
        <w:t xml:space="preserve">ACCREDITATION STATEMENT: </w:t>
      </w:r>
      <w:r w:rsidRPr="003E5D6E" w:rsidR="00053C8D">
        <w:rPr>
          <w:rFonts w:ascii="Arial" w:hAnsi="Arial" w:cs="Arial"/>
          <w:b/>
          <w:bCs/>
          <w:sz w:val="20"/>
          <w:szCs w:val="20"/>
        </w:rPr>
        <w:t>Henry Ford Health System</w:t>
      </w:r>
      <w:r w:rsidRPr="003E5D6E">
        <w:rPr>
          <w:rFonts w:ascii="Arial" w:hAnsi="Arial" w:cs="Arial"/>
          <w:sz w:val="20"/>
          <w:szCs w:val="20"/>
        </w:rPr>
        <w:t xml:space="preserve"> is accredited by the Accreditation Council for Continuing Medical Education (ACCME) to provide continuing medical education for physicians.</w:t>
      </w:r>
    </w:p>
    <w:p w:rsidR="00993B4D" w:rsidP="003B6C7B">
      <w:pPr>
        <w:spacing w:line="240" w:lineRule="auto"/>
        <w:rPr>
          <w:rFonts w:ascii="Arial" w:hAnsi="Arial" w:cs="Arial"/>
          <w:sz w:val="20"/>
          <w:szCs w:val="20"/>
        </w:rPr>
      </w:pPr>
      <w:r w:rsidRPr="003E5D6E">
        <w:rPr>
          <w:rFonts w:ascii="Arial" w:hAnsi="Arial" w:cs="Arial"/>
          <w:b/>
          <w:bCs/>
          <w:sz w:val="20"/>
          <w:szCs w:val="20"/>
        </w:rPr>
        <w:t>DESIGNATION STATEMENT:</w:t>
      </w:r>
      <w:r w:rsidRPr="003E5D6E">
        <w:rPr>
          <w:b/>
          <w:bCs/>
          <w:sz w:val="20"/>
          <w:szCs w:val="20"/>
        </w:rPr>
        <w:t xml:space="preserve"> </w:t>
      </w:r>
      <w:r w:rsidRPr="003E5D6E" w:rsidR="00903F8E">
        <w:rPr>
          <w:rFonts w:ascii="Arial" w:hAnsi="Arial" w:cs="Arial"/>
          <w:b/>
          <w:bCs/>
          <w:sz w:val="20"/>
          <w:szCs w:val="20"/>
        </w:rPr>
        <w:t>Henry Ford Health System</w:t>
      </w:r>
      <w:r w:rsidRPr="003E5D6E" w:rsidR="00CC477A">
        <w:rPr>
          <w:rFonts w:ascii="Arial" w:hAnsi="Arial" w:cs="Arial"/>
          <w:sz w:val="20"/>
          <w:szCs w:val="20"/>
        </w:rPr>
        <w:t xml:space="preserve"> </w:t>
      </w:r>
      <w:r w:rsidRPr="003E5D6E">
        <w:rPr>
          <w:rFonts w:ascii="Arial" w:hAnsi="Arial" w:cs="Arial"/>
          <w:sz w:val="20"/>
          <w:szCs w:val="20"/>
        </w:rPr>
        <w:t xml:space="preserve">designates this educational activity for a maximum of </w:t>
      </w:r>
      <w:r w:rsidRPr="003E5D6E" w:rsidR="00E04B48">
        <w:rPr>
          <w:rFonts w:ascii="Arial" w:hAnsi="Arial" w:cs="Arial"/>
          <w:noProof/>
          <w:sz w:val="20"/>
          <w:szCs w:val="20"/>
        </w:rPr>
        <w:t>2.00</w:t>
      </w:r>
      <w:r w:rsidRPr="003E5D6E">
        <w:rPr>
          <w:rFonts w:ascii="Arial" w:hAnsi="Arial" w:cs="Arial"/>
          <w:sz w:val="20"/>
          <w:szCs w:val="20"/>
        </w:rPr>
        <w:t xml:space="preserve"> AMA PRA Category 1 Credit</w:t>
      </w:r>
      <w:r w:rsidRPr="003E5D6E" w:rsidR="00877E7B">
        <w:rPr>
          <w:rFonts w:ascii="Arial" w:hAnsi="Arial" w:cs="Arial"/>
          <w:sz w:val="20"/>
          <w:szCs w:val="20"/>
        </w:rPr>
        <w:t>(s)</w:t>
      </w:r>
      <w:r w:rsidRPr="003E5D6E" w:rsidR="00053C8D">
        <w:rPr>
          <w:rFonts w:ascii="Arial" w:hAnsi="Arial" w:cs="Arial"/>
          <w:sz w:val="20"/>
          <w:szCs w:val="20"/>
        </w:rPr>
        <w:t>™</w:t>
      </w:r>
      <w:r w:rsidRPr="003E5D6E">
        <w:rPr>
          <w:rFonts w:ascii="Arial" w:hAnsi="Arial" w:cs="Arial"/>
          <w:sz w:val="20"/>
          <w:szCs w:val="20"/>
        </w:rPr>
        <w:t>. Physicians should only claim credit commensurate with the extent of their participation in the activity.</w:t>
      </w:r>
    </w:p>
    <w:p w:rsidR="003E5D6E" w:rsidP="003B6C7B">
      <w:pPr>
        <w:spacing w:line="240" w:lineRule="auto"/>
        <w:rPr>
          <w:rFonts w:ascii="Arial" w:hAnsi="Arial" w:cs="Arial"/>
          <w:sz w:val="20"/>
          <w:szCs w:val="20"/>
        </w:rPr>
      </w:pPr>
      <w:r w:rsidRPr="003E5D6E">
        <w:rPr>
          <w:rFonts w:ascii="Arial" w:hAnsi="Arial" w:cs="Arial"/>
          <w:b/>
          <w:bCs/>
          <w:sz w:val="20"/>
          <w:szCs w:val="20"/>
        </w:rPr>
        <w:t>FACULTY/PLANNING COMMITTEE DISCLOSURE STATEMENT:</w:t>
      </w:r>
      <w:r w:rsidRPr="003E5D6E">
        <w:rPr>
          <w:rFonts w:ascii="Arial" w:hAnsi="Arial"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007D5D04">
        <w:rPr>
          <w:rFonts w:ascii="Arial" w:hAnsi="Arial" w:cs="Arial"/>
          <w:sz w:val="20"/>
          <w:szCs w:val="20"/>
        </w:rPr>
        <w:t>24</w:t>
      </w:r>
      <w:r w:rsidRPr="003E5D6E">
        <w:rPr>
          <w:rFonts w:ascii="Arial" w:hAnsi="Arial" w:cs="Arial"/>
          <w:sz w:val="20"/>
          <w:szCs w:val="20"/>
        </w:rPr>
        <w:t xml:space="preserve"> months and/or any non-FDA approved use of a drug or a device that is included in the presentation.</w:t>
      </w:r>
      <w:r w:rsidR="007D5D04">
        <w:rPr>
          <w:rFonts w:ascii="Arial" w:hAnsi="Arial" w:cs="Arial"/>
          <w:sz w:val="20"/>
          <w:szCs w:val="20"/>
        </w:rPr>
        <w:t xml:space="preserve"> All relevant financial relationships have been mitigated. </w:t>
      </w:r>
    </w:p>
    <w:p w:rsidR="00B740AA" w:rsidRPr="00B740AA" w:rsidP="003B6C7B">
      <w:pPr>
        <w:spacing w:line="240" w:lineRule="auto"/>
        <w:rPr>
          <w:rFonts w:ascii="Arial" w:hAnsi="Arial" w:cs="Arial"/>
          <w:sz w:val="20"/>
          <w:szCs w:val="20"/>
        </w:rPr>
      </w:pPr>
      <w:r w:rsidRPr="00B740AA">
        <w:rPr>
          <w:rFonts w:ascii="Arial" w:hAnsi="Arial" w:cs="Arial"/>
          <w:b/>
          <w:bCs/>
          <w:sz w:val="20"/>
          <w:szCs w:val="20"/>
        </w:rPr>
        <w:t>ACCESSIBILITY STATEMENT</w:t>
      </w:r>
      <w:r>
        <w:rPr>
          <w:rFonts w:ascii="Arial" w:hAnsi="Arial" w:cs="Arial"/>
          <w:b/>
          <w:bCs/>
          <w:sz w:val="20"/>
          <w:szCs w:val="20"/>
        </w:rPr>
        <w:t xml:space="preserve">: </w:t>
      </w:r>
      <w:r w:rsidRPr="00B740AA">
        <w:rPr>
          <w:rFonts w:ascii="Arial" w:hAnsi="Arial" w:cs="Arial"/>
          <w:sz w:val="20"/>
          <w:szCs w:val="20"/>
        </w:rPr>
        <w:t>Henry Ford Health System Office of Continu</w:t>
      </w:r>
      <w:r w:rsidR="00F42D99">
        <w:rPr>
          <w:rFonts w:ascii="Arial" w:hAnsi="Arial" w:cs="Arial"/>
          <w:sz w:val="20"/>
          <w:szCs w:val="20"/>
        </w:rPr>
        <w:t xml:space="preserve">ing Medical Education is committed to ensuring that its programs, services, goods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375873" w:rsidRPr="003E5D6E" w:rsidP="006A623D">
      <w:pPr>
        <w:spacing w:line="240" w:lineRule="auto"/>
        <w:rPr>
          <w:rFonts w:ascii="Arial" w:hAnsi="Arial" w:cs="Arial"/>
          <w:sz w:val="20"/>
          <w:szCs w:val="20"/>
        </w:rPr>
      </w:pPr>
    </w:p>
    <w:p w:rsidR="00993B4D" w:rsidRPr="003E5D6E" w:rsidP="006A623D">
      <w:pPr>
        <w:spacing w:line="240" w:lineRule="auto"/>
        <w:rPr>
          <w:rFonts w:ascii="Arial" w:hAnsi="Arial" w:cs="Arial"/>
          <w:sz w:val="20"/>
          <w:szCs w:val="20"/>
        </w:rPr>
      </w:pPr>
      <w:r w:rsidRPr="003E5D6E">
        <w:rPr>
          <w:rFonts w:ascii="Arial" w:hAnsi="Arial" w:cs="Arial"/>
          <w:sz w:val="20"/>
          <w:szCs w:val="20"/>
        </w:rPr>
        <w:fldChar w:fldCharType="begin"/>
      </w:r>
      <w:r w:rsidRPr="003E5D6E">
        <w:rPr>
          <w:rFonts w:ascii="Arial" w:hAnsi="Arial" w:cs="Arial"/>
          <w:sz w:val="20"/>
          <w:szCs w:val="20"/>
        </w:rPr>
        <w:instrText xml:space="preserve"> IF  </w:instrText>
      </w:r>
      <w:r w:rsidRPr="003E5D6E" w:rsidR="00781A36">
        <w:rPr>
          <w:rFonts w:ascii="Arial" w:hAnsi="Arial" w:cs="Arial"/>
          <w:sz w:val="20"/>
          <w:szCs w:val="20"/>
        </w:rPr>
        <w:instrText>"</w:instrText>
      </w:r>
      <w:r w:rsidRPr="003E5D6E" w:rsidR="00781A36">
        <w:rPr>
          <w:rFonts w:ascii="Arial" w:hAnsi="Arial" w:cs="Arial"/>
          <w:sz w:val="20"/>
          <w:szCs w:val="20"/>
        </w:rPr>
        <w:instrText>"</w:instrText>
      </w:r>
      <w:r w:rsidRPr="003E5D6E" w:rsidR="00781A36">
        <w:rPr>
          <w:rFonts w:ascii="Arial" w:hAnsi="Arial" w:cs="Arial"/>
          <w:sz w:val="20"/>
          <w:szCs w:val="20"/>
        </w:rPr>
        <w:instrText xml:space="preserve"> &lt;&gt; "" "If you have questions, please email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at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CoordinatorEmail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«CoordinatorEmail»</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 </w:instrText>
      </w:r>
      <w:r w:rsidRPr="003E5D6E">
        <w:rPr>
          <w:rFonts w:ascii="Arial" w:hAnsi="Arial" w:cs="Arial"/>
          <w:sz w:val="20"/>
          <w:szCs w:val="20"/>
        </w:rPr>
        <w:instrText xml:space="preserve">\* MERGEFORMAT </w:instrText>
      </w:r>
      <w:r w:rsidRPr="003E5D6E">
        <w:rPr>
          <w:rFonts w:ascii="Arial" w:hAnsi="Arial" w:cs="Arial"/>
          <w:sz w:val="20"/>
          <w:szCs w:val="20"/>
        </w:rPr>
        <w:fldChar w:fldCharType="separate"/>
      </w:r>
      <w:r w:rsidRPr="003E5D6E">
        <w:rPr>
          <w:rFonts w:ascii="Arial" w:hAnsi="Arial" w:cs="Arial"/>
          <w:sz w:val="20"/>
          <w:szCs w:val="20"/>
        </w:rPr>
        <w:fldChar w:fldCharType="end"/>
      </w:r>
    </w:p>
    <w:sectPr w:rsidSect="00FE0264">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3</cp:revision>
  <dcterms:created xsi:type="dcterms:W3CDTF">2021-04-26T12:24:00Z</dcterms:created>
  <dcterms:modified xsi:type="dcterms:W3CDTF">2021-05-03T12:23:00Z</dcterms:modified>
</cp:coreProperties>
</file>