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HFCI Gastrointestinal</w:t>
      </w:r>
      <w:r w:rsidRPr="003F5D69" w:rsidR="005220D6">
        <w:rPr>
          <w:rFonts w:cs="Arial"/>
          <w:b/>
          <w:bCs/>
          <w:sz w:val="28"/>
          <w:szCs w:val="28"/>
        </w:rPr>
        <w:t xml:space="preserve"> and Neuroendocrine Multidisciplinary Symposium (5/14/22)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5/14</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The Dearborn</w:t>
      </w:r>
      <w:r w:rsidRPr="003F5D69">
        <w:rPr>
          <w:rFonts w:cs="Arial"/>
          <w:b/>
          <w:noProof/>
          <w:sz w:val="28"/>
          <w:szCs w:val="28"/>
        </w:rPr>
        <w:t xml:space="preserve"> Inn</w:t>
      </w:r>
    </w:p>
    <w:p w:rsidR="00B635C4" w:rsidRPr="003F5D69" w:rsidP="006A623D">
      <w:pPr>
        <w:spacing w:line="240" w:lineRule="auto"/>
        <w:rPr>
          <w:rFonts w:cs="Arial"/>
          <w:sz w:val="24"/>
        </w:rPr>
      </w:pPr>
      <w:r>
        <w:rPr>
          <w:rtl w:val="0"/>
        </w:rPr>
        <w:t>Gastrointestinal and Neuroendocrine HFCI Multidisciplinary Symposium</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understand the impact of recent data from clinical trials on GI and Neuroendocrine Cancer patient care.</w:t>
      </w:r>
    </w:p>
    <w:p w:rsidRPr="003F5D69" w:rsidP="006A623D">
      <w:pPr>
        <w:spacing w:line="240" w:lineRule="auto"/>
        <w:rPr>
          <w:rFonts w:cs="Arial"/>
        </w:rPr>
      </w:pPr>
      <w:r w:rsidRPr="003F5D69">
        <w:rPr>
          <w:rFonts w:cs="Arial"/>
        </w:rPr>
        <w:t>2 To become informed on best practices in integrated multimodality therapies for patients with Gastrointestinal cancers and Neuroendocrine tumors.</w:t>
      </w:r>
    </w:p>
    <w:p w:rsidR="00993B4D" w:rsidRPr="003F5D69" w:rsidP="006A623D">
      <w:pPr>
        <w:spacing w:line="240" w:lineRule="auto"/>
        <w:rPr>
          <w:rFonts w:cs="Arial"/>
          <w:color w:val="000000" w:themeColor="text1"/>
          <w:sz w:val="24"/>
          <w:szCs w:val="24"/>
        </w:rPr>
      </w:pPr>
      <w:r w:rsidRPr="003F5D69">
        <w:rPr>
          <w:rFonts w:cs="Arial"/>
        </w:rPr>
        <w:t>3 To use molecular diagnostic studies in the management of patients with Gastrointestinal and Neuroendocrine tumors.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Medical Oncology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Tressa Cuschieri,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Kisha McPherson, MHSA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Philip Philip,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Honoraria-Advisor, Speaker Beureau, |Consulting Fee-Stemline (Relationship has ended)|Honoraria-Lilly (Relationship has ended)|Grant or research support-Karyopharm (Relationship has ended)|Advisor-Pfizer (Relationship has ended)|Advisor-Seattle Genetics|Consulting Fee-Bayer|Grant or research support-Carcept (Relationship has ended)|Honoraria-Daiichi|Honoraria-Erytech|Honoraria-Incyte|Honoraria-Ipsen|Honoraria-Merck|Honoraria-Novocure (Relationship has ended)|Grant or research support-Rafael (Relationship has ended)|Honoraria-Genetech|Consulting Fee-Trisauls|Advisor-Boston Pharmaceuticals (Relationship has ended)|Honoraria-Servier - 01/08/2022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Berri,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Dhananjay Chitale,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Shirish Gadgeel,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Fee-Astra-Zeneca, Genentech-Roche, Pfizer, Mirati, Bristol Myers-Squibb, Takeda, Janssen, Daichii, Blueprint, Lilly, Novartis, Merck (Relationship has ended) - 04/11/2022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Gazala Khan,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etc.-Eisai, Incyte, Helsinn - 04/22/2022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 H Kim, MD, FACS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Shunji Nagai,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Parag Parikh,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Bureau-Viewray|Grant or research support-Viewray|Stocks or stock options, excluding diversified mutual funds-Nuvaira - 02/28/2022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Vaibhav Sahai,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etc.-Astrazeneca|Membership on Advisory Committees or Review Panels, Board Membership, etc.-GlaxoSmithKline (Relationship has ended)|Membership on Advisory Committees or Review Panels, Board Membership, etc.-Helsinn (Relationship has ended)|Membership on Advisory Committees or Review Panels, Board Membership, etc.-Histosonics|Membership on Advisory Committees or Review Panels, Board Membership, etc.-Incyte|Membership on Advisory Committees or Review Panels, Board Membership, etc.-Klus (Relationship has ended)|Membership on Advisory Committees or Review Panels, Board Membership, etc.-Kinnate (Relationship has ended)|Honoraria-Lynx Group|Membership on Advisory Committees or Review Panels, Board Membership, etc.-QED (Relationship has ended)|Membership on Advisory Committees or Review Panels, Board Membership, etc.-Rafael Pharmaceuticals - 02/12/2022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Reena Salgia,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Rupen Shah,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S Simon,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Sumit Singla,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Fee-Boston Scientific - 03/01/2022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Zalupski,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- 02/17/2022</w:t>
            </w:r>
          </w:p>
        </w:tc>
      </w:tr>
    </w:tbl>
    <w:p w:rsidR="00375873" w:rsidRPr="003F5D69">
      <w:pPr>
        <w:bidi w:val="0"/>
        <w:spacing w:after="280" w:afterAutospacing="1"/>
        <w:rPr>
          <w:rFonts w:cs="Arial"/>
          <w:b/>
          <w:bCs/>
          <w:noProof/>
          <w:sz w:val="24"/>
          <w:szCs w:val="24"/>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6.00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5</cp:revision>
  <dcterms:created xsi:type="dcterms:W3CDTF">2022-04-04T17:04:00Z</dcterms:created>
  <dcterms:modified xsi:type="dcterms:W3CDTF">2022-04-04T18:22:00Z</dcterms:modified>
</cp:coreProperties>
</file>