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Multidisciplinary Head</w:t>
      </w:r>
      <w:r w:rsidRPr="003F5D69" w:rsidR="005220D6">
        <w:rPr>
          <w:rFonts w:cs="Arial"/>
          <w:b/>
          <w:bCs/>
          <w:sz w:val="28"/>
          <w:szCs w:val="28"/>
        </w:rPr>
        <w:t xml:space="preserve"> and Neck Cancer Symposium - 5/13/22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5/13</w:t>
      </w:r>
      <w:r w:rsidRPr="003F5D69" w:rsidR="005220D6">
        <w:rPr>
          <w:rFonts w:cs="Arial"/>
          <w:b/>
          <w:noProof/>
          <w:sz w:val="28"/>
          <w:szCs w:val="28"/>
        </w:rPr>
        <w:t>/2022 7:30:00 AM</w:t>
      </w:r>
      <w:r w:rsidRPr="003F5D69" w:rsidR="00FE207D">
        <w:rPr>
          <w:rFonts w:cs="Arial"/>
          <w:b/>
          <w:noProof/>
          <w:sz w:val="28"/>
          <w:szCs w:val="28"/>
        </w:rPr>
        <w:t xml:space="preserve"> </w:t>
      </w:r>
      <w:r w:rsidRPr="003F5D69">
        <w:rPr>
          <w:rFonts w:cs="Arial"/>
          <w:b/>
          <w:noProof/>
          <w:sz w:val="28"/>
          <w:szCs w:val="28"/>
        </w:rPr>
        <w:t>Orchard Lake</w:t>
      </w:r>
      <w:r w:rsidRPr="003F5D69">
        <w:rPr>
          <w:rFonts w:cs="Arial"/>
          <w:b/>
          <w:noProof/>
          <w:sz w:val="28"/>
          <w:szCs w:val="28"/>
        </w:rPr>
        <w:t xml:space="preserve"> Country Club - 5000 W Shore Drive</w:t>
      </w:r>
    </w:p>
    <w:p w:rsidR="00B635C4" w:rsidRPr="003F5D69">
      <w:pPr>
        <w:bidi w:val="0"/>
        <w:spacing w:after="280" w:afterAutospacing="1"/>
        <w:rPr>
          <w:rFonts w:cs="Arial"/>
          <w:sz w:val="24"/>
        </w:rPr>
      </w:pPr>
      <w:r>
        <w:rPr>
          <w:b/>
          <w:bCs/>
          <w:sz w:val="27"/>
          <w:szCs w:val="27"/>
          <w:rtl w:val="0"/>
        </w:rPr>
        <w:t> </w:t>
      </w:r>
      <w:r>
        <w:rPr>
          <w:rFonts w:ascii="Helvetica" w:eastAsia="Helvetica" w:hAnsi="Helvetica" w:cs="Helvetica"/>
          <w:b/>
          <w:bCs/>
          <w:sz w:val="27"/>
          <w:szCs w:val="27"/>
          <w:rtl w:val="0"/>
        </w:rPr>
        <w:t>You are invited to the 8th Annual Henry Ford Cancer Institute Head and Neck Cancer Symposium!</w:t>
      </w:r>
    </w:p>
    <w:p>
      <w:pPr>
        <w:bidi w:val="0"/>
        <w:spacing w:after="280" w:afterAutospacing="1"/>
        <w:rPr>
          <w:rtl w:val="0"/>
        </w:rPr>
      </w:pPr>
      <w:r>
        <w:rPr>
          <w:rtl w:val="0"/>
        </w:rPr>
        <w:br/>
      </w:r>
      <w:r>
        <w:rPr>
          <w:rtl w:val="0"/>
        </w:rPr>
        <w:br/>
      </w:r>
      <w:r>
        <w:rPr>
          <w:rtl w:val="0"/>
        </w:rPr>
        <w:t>This year’s symposium will bring together leaders in head and neck cancer innovation, reconstruction, supportive oncology, and research. We will be highlighting management of laryngeal disease and cancer.</w:t>
      </w:r>
    </w:p>
    <w:p>
      <w:pPr>
        <w:bidi w:val="0"/>
        <w:spacing w:after="280" w:afterAutospacing="1"/>
        <w:rPr>
          <w:rtl w:val="0"/>
        </w:rPr>
      </w:pPr>
      <w:r>
        <w:rPr>
          <w:rtl w:val="0"/>
        </w:rPr>
        <w:br/>
      </w:r>
      <w:r>
        <w:rPr>
          <w:rtl w:val="0"/>
        </w:rPr>
        <w:t>Our team is one of the most comprehensive head and neck cancer programs in the country. Our team treats more than 300 patients each year from across Michigan, the United States and Canada – using advanced, effective treatment and surgical options. All of our physicians are board certified, our surgeons are fellowship trained in head and neck surgery, and our radiation oncologists are focused on head and neck cancer – a skill not found at most centers. This team works closely and collaboratively to design a care plan tailored to patients’ needs. </w:t>
      </w:r>
    </w:p>
    <w:p>
      <w:pPr>
        <w:bidi w:val="0"/>
        <w:spacing w:after="280" w:afterAutospacing="1"/>
        <w:rPr>
          <w:rtl w:val="0"/>
        </w:rPr>
      </w:pPr>
      <w:r>
        <w:rPr>
          <w:rtl w:val="0"/>
        </w:rPr>
        <w:br/>
      </w:r>
      <w:r>
        <w:rPr>
          <w:rtl w:val="0"/>
        </w:rPr>
        <w:t>The concept of creating a Head and Neck Cancer conference was the result of a discussion during a CRAG and CPEC meeting 10 years ago. They felt a head and neck cancer symposium would be beneficial for community physicians and trainees to learn about head and neck cancers, and hoped this would facilitate engagement of clinicians in collaborative research efforts with the public health sciences. They were both supportive of the effort which would also educate the southeast Michigan region clinicians regarding the multidisciplinary head and neck cancer treatments. </w:t>
      </w:r>
    </w:p>
    <w:p>
      <w:pPr>
        <w:bidi w:val="0"/>
        <w:rPr>
          <w:rtl w:val="0"/>
        </w:rPr>
      </w:pPr>
    </w:p>
    <w:p>
      <w:pPr>
        <w:bidi w:val="0"/>
        <w:rPr>
          <w:rtl w:val="0"/>
        </w:rPr>
      </w:pP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Discuss</w:t>
      </w:r>
      <w:r w:rsidRPr="003F5D69">
        <w:rPr>
          <w:rFonts w:cs="Arial"/>
        </w:rPr>
        <w:t xml:space="preserve"> new modalities available to manage early glottic cancers</w:t>
      </w:r>
    </w:p>
    <w:p w:rsidRPr="003F5D69" w:rsidP="006A623D">
      <w:pPr>
        <w:spacing w:line="240" w:lineRule="auto"/>
        <w:rPr>
          <w:rFonts w:cs="Arial"/>
        </w:rPr>
      </w:pPr>
      <w:r w:rsidRPr="003F5D69">
        <w:rPr>
          <w:rFonts w:cs="Arial"/>
        </w:rPr>
        <w:t>2 Discuss new literature and guidelines on management of advanced glottic cancers</w:t>
      </w:r>
    </w:p>
    <w:p w:rsidRPr="003F5D69" w:rsidP="006A623D">
      <w:pPr>
        <w:spacing w:line="240" w:lineRule="auto"/>
        <w:rPr>
          <w:rFonts w:cs="Arial"/>
        </w:rPr>
      </w:pPr>
      <w:r w:rsidRPr="003F5D69">
        <w:rPr>
          <w:rFonts w:cs="Arial"/>
        </w:rPr>
        <w:t>3 Discuss patient reported outcomes and quality of life measures for patients with glottic cancer</w:t>
      </w:r>
    </w:p>
    <w:p w:rsidR="00993B4D" w:rsidRPr="003F5D69" w:rsidP="006A623D">
      <w:pPr>
        <w:spacing w:line="240" w:lineRule="auto"/>
        <w:rPr>
          <w:rFonts w:cs="Arial"/>
          <w:color w:val="000000" w:themeColor="text1"/>
          <w:sz w:val="24"/>
          <w:szCs w:val="24"/>
        </w:rPr>
      </w:pPr>
      <w:r w:rsidRPr="003F5D69">
        <w:rPr>
          <w:rFonts w:cs="Arial"/>
        </w:rPr>
        <w:t>4 Discuss role of immunotherapy and reirradiation in the setting of recurrent or metastatic disease</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Otolaryngology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Demi-Lauren Currier, other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Vivian Wu,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Honoraria-castle biosciences (Relationship has ended) - 03/15/2022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raghad abdul-karim,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Haythem Ali,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Fee-Genentech, Inc.|Consulting Fee-AstraZeneca|Consulting Fee-Biotheranostics - 08/04/2021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Syed Ahmed Ali,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Samer Al-khudari,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Kari Busch, PT, Oncological Rehabilitation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Timothy Carrier,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Chang,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Glendon Gardner,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Tamer Ghanem,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Gibson, 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Shivangi Lohia,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Ross Mayerhoff,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Suhael Momin,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Money,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Cyrus Piraka, MD, FASGE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Bureau-US Endoscopy - 02/14/2022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Schwartz,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Farzan Siddiqui,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etc.-Varian Noona Medical Advisory Board|Grant or research support-Varian Medical Systems Inc|Speakers Bureau-Varian Clinical School - 02/14/2022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Warren Swegal, MD, Head and Neck Surgical Oncologist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Samantha Tam,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support-Genentech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Diana Walker, MA,CCC-SLP, CCC-SLP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- 02/10/2022</w:t>
            </w:r>
          </w:p>
        </w:tc>
      </w:tr>
    </w:tbl>
    <w:p w:rsidR="00375873" w:rsidRPr="003F5D69">
      <w:pPr>
        <w:bidi w:val="0"/>
        <w:spacing w:after="280" w:afterAutospacing="1"/>
        <w:rPr>
          <w:rFonts w:cs="Arial"/>
          <w:b/>
          <w:bCs/>
          <w:noProof/>
          <w:sz w:val="24"/>
          <w:szCs w:val="24"/>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6.25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5</cp:revision>
  <dcterms:created xsi:type="dcterms:W3CDTF">2022-04-04T17:04:00Z</dcterms:created>
  <dcterms:modified xsi:type="dcterms:W3CDTF">2022-04-04T18:22:00Z</dcterms:modified>
</cp:coreProperties>
</file>