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04B48" w:rsidRPr="00815BB5" w:rsidP="006A623D">
      <w:pPr>
        <w:spacing w:line="240" w:lineRule="auto"/>
        <w:rPr>
          <w:rFonts w:ascii="Arial" w:hAnsi="Arial" w:cs="Arial"/>
          <w:b/>
          <w:noProof/>
          <w:sz w:val="28"/>
          <w:szCs w:val="28"/>
        </w:rPr>
      </w:pPr>
      <w:r w:rsidRPr="003729D7">
        <w:rPr>
          <w:rFonts w:ascii="Arial" w:hAnsi="Arial" w:cs="Arial"/>
          <w:noProof/>
        </w:rPr>
        <w:drawing>
          <wp:inline distT="0" distB="0" distL="0" distR="0">
            <wp:extent cx="3556000" cy="12827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HS logo.png"/>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3556000" cy="1282700"/>
                    </a:xfrm>
                    <a:prstGeom prst="rect">
                      <a:avLst/>
                    </a:prstGeom>
                  </pic:spPr>
                </pic:pic>
              </a:graphicData>
            </a:graphic>
          </wp:inline>
        </w:drawing>
      </w:r>
      <w:r w:rsidRPr="003729D7" w:rsidR="004D5DAE">
        <w:rPr>
          <w:rFonts w:ascii="Arial" w:hAnsi="Arial" w:cs="Arial"/>
        </w:rPr>
        <w:br/>
      </w:r>
      <w:r w:rsidRPr="003729D7" w:rsidR="007B0FAA">
        <w:rPr>
          <w:rFonts w:ascii="Arial" w:hAnsi="Arial" w:cs="Arial"/>
          <w:b/>
          <w:color w:val="31849B" w:themeColor="accent5" w:themeShade="BF"/>
          <w:sz w:val="28"/>
          <w:szCs w:val="28"/>
        </w:rPr>
        <w:br/>
      </w:r>
      <w:r w:rsidRPr="005220D6" w:rsidR="005220D6">
        <w:rPr>
          <w:rFonts w:ascii="Arial" w:hAnsi="Arial" w:cs="Arial"/>
          <w:b/>
          <w:bCs/>
          <w:noProof/>
          <w:sz w:val="28"/>
          <w:szCs w:val="28"/>
        </w:rPr>
        <w:t>Understanding Complex</w:t>
      </w:r>
      <w:r w:rsidRPr="005220D6" w:rsidR="005220D6">
        <w:rPr>
          <w:rFonts w:ascii="Arial" w:hAnsi="Arial" w:cs="Arial"/>
          <w:b/>
          <w:bCs/>
          <w:sz w:val="28"/>
          <w:szCs w:val="28"/>
        </w:rPr>
        <w:t xml:space="preserve"> Developmental Trauma (Recording)</w:t>
      </w:r>
      <w:r w:rsidRPr="005220D6" w:rsidR="00993B4D">
        <w:rPr>
          <w:rFonts w:ascii="Arial" w:hAnsi="Arial" w:cs="Arial"/>
          <w:b/>
          <w:noProof/>
          <w:sz w:val="28"/>
          <w:szCs w:val="28"/>
        </w:rPr>
        <w:t xml:space="preserve"> </w:t>
      </w:r>
      <w:r w:rsidRPr="005220D6" w:rsidR="005220D6">
        <w:rPr>
          <w:rFonts w:ascii="Arial" w:hAnsi="Arial" w:cs="Arial"/>
          <w:b/>
          <w:noProof/>
          <w:sz w:val="28"/>
          <w:szCs w:val="28"/>
        </w:rPr>
        <w:t>|</w:t>
      </w:r>
      <w:r w:rsidR="005220D6">
        <w:rPr>
          <w:rFonts w:ascii="Arial" w:hAnsi="Arial" w:cs="Arial"/>
          <w:b/>
          <w:noProof/>
          <w:sz w:val="28"/>
          <w:szCs w:val="28"/>
        </w:rPr>
        <w:t xml:space="preserve"> </w:t>
      </w:r>
      <w:r w:rsidR="005220D6">
        <w:rPr>
          <w:rFonts w:ascii="Arial" w:hAnsi="Arial" w:cs="Arial"/>
          <w:b/>
          <w:noProof/>
          <w:sz w:val="28"/>
          <w:szCs w:val="28"/>
        </w:rPr>
        <w:t>3/1</w:t>
      </w:r>
      <w:r w:rsidR="005220D6">
        <w:rPr>
          <w:rFonts w:ascii="Arial" w:hAnsi="Arial" w:cs="Arial"/>
          <w:b/>
          <w:noProof/>
          <w:sz w:val="28"/>
          <w:szCs w:val="28"/>
        </w:rPr>
        <w:t>/2022 9:00:00 AM</w:t>
      </w:r>
      <w:r w:rsidR="00FE207D">
        <w:rPr>
          <w:rFonts w:ascii="Arial" w:hAnsi="Arial" w:cs="Arial"/>
          <w:b/>
          <w:noProof/>
          <w:sz w:val="28"/>
          <w:szCs w:val="28"/>
        </w:rPr>
        <w:t xml:space="preserve"> </w:t>
      </w:r>
      <w:r>
        <w:rPr>
          <w:rFonts w:ascii="Arial" w:hAnsi="Arial" w:cs="Arial"/>
          <w:b/>
          <w:noProof/>
          <w:sz w:val="28"/>
          <w:szCs w:val="28"/>
        </w:rPr>
        <w:t>Other</w:t>
      </w:r>
    </w:p>
    <w:p w:rsidR="00375873" w:rsidP="006A623D">
      <w:pPr>
        <w:spacing w:line="240" w:lineRule="auto"/>
        <w:rPr>
          <w:rFonts w:ascii="Arial" w:hAnsi="Arial" w:cs="Arial"/>
          <w:sz w:val="24"/>
        </w:rPr>
      </w:pPr>
      <w:r>
        <w:rPr>
          <w:rtl w:val="0"/>
        </w:rPr>
        <w:t xml:space="preserve">TRIGGER WARNING: This presentation discusses trauma and child trauma exposure. This content may be emotionally upsetting for some individuals. Trauma experienced in childhood has potential to impact developmental pathways including regulatory capacity, relational connections, reflective capacities, and sense of self. These impacts may lead children and adolescents to present for services with a range of diagnoses and identified challenging behaviors. In this workshop, participants will explore core / common aspects of traumatic experiences and ways these experiences lead to developmental adaptations that are best understood within the context of the youth’s lived experience. The linkage between historical experience and resulting adaptations, and core goals of trauma-informed intervention will be explored. As a result of this workshop, participants will be able to: 1) Define complex trauma and identify at least 3 consequences of early complex trauma exposure. 2) Identify prevalence estimates of at least two types of trauma exposure in childhood. 3) Identify two primary functions of trauma-based behaviors 4) Describe at least two developmental impacts of trauma. 5) Identify and describe at least one factor which promotes resilience in trauma-exposed youth. 6) Describe the role of trauma-informed practices for youth who have experienced complex trauma. </w:t>
      </w:r>
    </w:p>
    <w:p w:rsidR="00B635C4" w:rsidRPr="003729D7" w:rsidP="006A623D">
      <w:pPr>
        <w:spacing w:line="240" w:lineRule="auto"/>
        <w:rPr>
          <w:rFonts w:ascii="Arial" w:hAnsi="Arial" w:cs="Arial"/>
          <w:sz w:val="24"/>
        </w:rPr>
      </w:pPr>
    </w:p>
    <w:p w:rsidR="00815BB5" w:rsidP="006A623D">
      <w:pPr>
        <w:spacing w:line="240" w:lineRule="auto"/>
        <w:rPr>
          <w:rFonts w:ascii="Arial" w:hAnsi="Arial" w:cs="Arial"/>
          <w:b/>
          <w:sz w:val="24"/>
          <w:szCs w:val="24"/>
        </w:rPr>
      </w:pPr>
      <w:r w:rsidRPr="003729D7">
        <w:rPr>
          <w:rFonts w:ascii="Arial" w:hAnsi="Arial" w:cs="Arial"/>
          <w:b/>
          <w:sz w:val="24"/>
          <w:szCs w:val="24"/>
        </w:rPr>
        <w:t>Program Goal</w:t>
      </w:r>
    </w:p>
    <w:p w:rsidR="00993B4D" w:rsidRPr="003729D7" w:rsidP="006A623D">
      <w:pPr>
        <w:spacing w:line="240" w:lineRule="auto"/>
        <w:rPr>
          <w:rFonts w:ascii="Arial" w:hAnsi="Arial" w:cs="Arial"/>
          <w:color w:val="000000" w:themeColor="text1"/>
          <w:sz w:val="24"/>
          <w:szCs w:val="24"/>
        </w:rPr>
      </w:pPr>
      <w:r w:rsidRPr="003729D7">
        <w:rPr>
          <w:rFonts w:ascii="Arial" w:hAnsi="Arial" w:cs="Arial"/>
          <w:noProof/>
          <w:sz w:val="24"/>
          <w:szCs w:val="24"/>
        </w:rPr>
        <w:t>1 Define</w:t>
      </w:r>
      <w:r w:rsidRPr="003729D7">
        <w:rPr>
          <w:rFonts w:ascii="Arial" w:hAnsi="Arial" w:cs="Arial"/>
        </w:rPr>
        <w:t xml:space="preserve"> complex trauma and identify at least 3 consequences of early complex trauma exposure.</w:t>
      </w:r>
    </w:p>
    <w:p w:rsidRPr="003729D7" w:rsidP="006A623D">
      <w:pPr>
        <w:spacing w:line="240" w:lineRule="auto"/>
        <w:rPr>
          <w:rFonts w:ascii="Arial" w:hAnsi="Arial" w:cs="Arial"/>
        </w:rPr>
      </w:pPr>
      <w:r w:rsidRPr="003729D7">
        <w:rPr>
          <w:rFonts w:ascii="Arial" w:hAnsi="Arial" w:cs="Arial"/>
        </w:rPr>
        <w:t>2 Identify prevalence estimates of at least two types of trauma exposure in childhood.</w:t>
      </w:r>
    </w:p>
    <w:p w:rsidRPr="003729D7" w:rsidP="006A623D">
      <w:pPr>
        <w:spacing w:line="240" w:lineRule="auto"/>
        <w:rPr>
          <w:rFonts w:ascii="Arial" w:hAnsi="Arial" w:cs="Arial"/>
        </w:rPr>
      </w:pPr>
      <w:r w:rsidRPr="003729D7">
        <w:rPr>
          <w:rFonts w:ascii="Arial" w:hAnsi="Arial" w:cs="Arial"/>
        </w:rPr>
        <w:t>3 Identify two primary functions of trauma-based behaviors</w:t>
      </w:r>
    </w:p>
    <w:p w:rsidRPr="003729D7" w:rsidP="006A623D">
      <w:pPr>
        <w:spacing w:line="240" w:lineRule="auto"/>
        <w:rPr>
          <w:rFonts w:ascii="Arial" w:hAnsi="Arial" w:cs="Arial"/>
        </w:rPr>
      </w:pPr>
      <w:r w:rsidRPr="003729D7">
        <w:rPr>
          <w:rFonts w:ascii="Arial" w:hAnsi="Arial" w:cs="Arial"/>
        </w:rPr>
        <w:t>4 Describe at least two developmental impacts of trauma.</w:t>
      </w:r>
    </w:p>
    <w:p w:rsidRPr="003729D7" w:rsidP="006A623D">
      <w:pPr>
        <w:spacing w:line="240" w:lineRule="auto"/>
        <w:rPr>
          <w:rFonts w:ascii="Arial" w:hAnsi="Arial" w:cs="Arial"/>
        </w:rPr>
      </w:pPr>
      <w:r w:rsidRPr="003729D7">
        <w:rPr>
          <w:rFonts w:ascii="Arial" w:hAnsi="Arial" w:cs="Arial"/>
        </w:rPr>
        <w:t>5 Identify and describe at least one factor which promotes resilience in trauma-exposed youth.</w:t>
      </w:r>
    </w:p>
    <w:p w:rsidR="00993B4D" w:rsidRPr="003729D7" w:rsidP="006A623D">
      <w:pPr>
        <w:spacing w:line="240" w:lineRule="auto"/>
        <w:rPr>
          <w:rFonts w:ascii="Arial" w:hAnsi="Arial" w:cs="Arial"/>
          <w:color w:val="000000" w:themeColor="text1"/>
          <w:sz w:val="24"/>
          <w:szCs w:val="24"/>
        </w:rPr>
      </w:pPr>
      <w:r w:rsidRPr="003729D7">
        <w:rPr>
          <w:rFonts w:ascii="Arial" w:hAnsi="Arial" w:cs="Arial"/>
        </w:rPr>
        <w:t>6 Describe the role of trauma-informed practices for youth who have experienced complex trauma.</w:t>
      </w:r>
    </w:p>
    <w:p w:rsidR="00375873" w:rsidRPr="00E04B48" w:rsidP="00CC477A">
      <w:pPr>
        <w:spacing w:line="240" w:lineRule="auto"/>
        <w:rPr>
          <w:rFonts w:ascii="Arial" w:hAnsi="Arial" w:cs="Arial"/>
          <w:b/>
          <w:sz w:val="24"/>
          <w:szCs w:val="24"/>
        </w:rPr>
      </w:pPr>
      <w:r w:rsidRPr="003729D7">
        <w:rPr>
          <w:rFonts w:ascii="Arial" w:hAnsi="Arial" w:cs="Arial"/>
          <w:b/>
          <w:sz w:val="24"/>
          <w:szCs w:val="24"/>
        </w:rPr>
        <w:t>Target Audience</w:t>
      </w:r>
      <w:r w:rsidR="00E04B48">
        <w:rPr>
          <w:rFonts w:ascii="Arial" w:hAnsi="Arial" w:cs="Arial"/>
          <w:b/>
          <w:sz w:val="24"/>
          <w:szCs w:val="24"/>
        </w:rPr>
        <w:t xml:space="preserve"> </w:t>
      </w:r>
      <w:r w:rsidR="00BE6F87">
        <w:rPr>
          <w:rFonts w:ascii="Arial" w:hAnsi="Arial" w:cs="Arial"/>
          <w:noProof/>
        </w:rPr>
        <w:t>Psychiatry</w:t>
      </w:r>
    </w:p>
    <w:p w:rsidR="003729D7" w:rsidRPr="003729D7" w:rsidP="00CC477A">
      <w:pPr>
        <w:spacing w:line="240" w:lineRule="auto"/>
        <w:rPr>
          <w:rFonts w:ascii="Arial" w:hAnsi="Arial" w:cs="Arial"/>
          <w:b/>
          <w:bCs/>
          <w:noProof/>
          <w:sz w:val="24"/>
          <w:szCs w:val="24"/>
        </w:rPr>
      </w:pPr>
      <w:r w:rsidRPr="003729D7">
        <w:rPr>
          <w:rFonts w:ascii="Arial" w:hAnsi="Arial" w:cs="Arial"/>
          <w:b/>
          <w:bCs/>
          <w:noProof/>
          <w:sz w:val="24"/>
          <w:szCs w:val="24"/>
        </w:rPr>
        <w:t>Faculty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19"/>
        <w:gridCol w:w="3019"/>
        <w:gridCol w:w="4025"/>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Celeste Zabel,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Braciszewski,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Hannah Beels, BHSA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Crystal M Gyiraszin,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Reviewer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Clark,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CME Specialist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- 01/28/2022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Margaret E. Blaustein,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- 02/17/2022</w:t>
            </w:r>
          </w:p>
        </w:tc>
      </w:tr>
    </w:tbl>
    <w:p w:rsidR="00375873" w:rsidRPr="00060FDA">
      <w:pPr>
        <w:bidi w:val="0"/>
        <w:spacing w:after="280" w:afterAutospacing="1"/>
        <w:rPr>
          <w:rFonts w:ascii="Arial" w:hAnsi="Arial" w:cs="Arial"/>
          <w:b/>
          <w:bCs/>
          <w:noProof/>
          <w:sz w:val="24"/>
          <w:szCs w:val="24"/>
        </w:rPr>
      </w:pPr>
    </w:p>
    <w:p w:rsidR="00CC477A" w:rsidRPr="003E5D6E" w:rsidP="00CC477A">
      <w:pPr>
        <w:spacing w:line="240" w:lineRule="auto"/>
        <w:rPr>
          <w:rFonts w:ascii="Arial" w:hAnsi="Arial" w:cs="Arial"/>
          <w:sz w:val="20"/>
          <w:szCs w:val="20"/>
        </w:rPr>
      </w:pPr>
      <w:r w:rsidRPr="003E5D6E">
        <w:rPr>
          <w:rFonts w:ascii="Arial" w:hAnsi="Arial" w:cs="Arial"/>
          <w:b/>
          <w:bCs/>
          <w:sz w:val="20"/>
          <w:szCs w:val="20"/>
        </w:rPr>
        <w:t xml:space="preserve">ACCREDITATION STATEMENT: </w:t>
      </w:r>
      <w:r w:rsidRPr="003E5D6E" w:rsidR="00053C8D">
        <w:rPr>
          <w:rFonts w:ascii="Arial" w:hAnsi="Arial" w:cs="Arial"/>
          <w:b/>
          <w:bCs/>
          <w:sz w:val="20"/>
          <w:szCs w:val="20"/>
        </w:rPr>
        <w:t>Henry Ford Health System</w:t>
      </w:r>
      <w:r w:rsidRPr="003E5D6E">
        <w:rPr>
          <w:rFonts w:ascii="Arial" w:hAnsi="Arial" w:cs="Arial"/>
          <w:sz w:val="20"/>
          <w:szCs w:val="20"/>
        </w:rPr>
        <w:t xml:space="preserve"> is accredited by the Accreditation Council for Continuing Medical Education (ACCME) to provide continuing medical education for physicians.</w:t>
      </w:r>
    </w:p>
    <w:p w:rsidR="00993B4D" w:rsidP="003B6C7B">
      <w:pPr>
        <w:spacing w:line="240" w:lineRule="auto"/>
        <w:rPr>
          <w:rFonts w:ascii="Arial" w:hAnsi="Arial" w:cs="Arial"/>
          <w:sz w:val="20"/>
          <w:szCs w:val="20"/>
        </w:rPr>
      </w:pPr>
      <w:r w:rsidRPr="003E5D6E">
        <w:rPr>
          <w:rFonts w:ascii="Arial" w:hAnsi="Arial" w:cs="Arial"/>
          <w:b/>
          <w:bCs/>
          <w:sz w:val="20"/>
          <w:szCs w:val="20"/>
        </w:rPr>
        <w:t>DESIGNATION STATEMENT:</w:t>
      </w:r>
      <w:r w:rsidRPr="003E5D6E">
        <w:rPr>
          <w:b/>
          <w:bCs/>
          <w:sz w:val="20"/>
          <w:szCs w:val="20"/>
        </w:rPr>
        <w:t xml:space="preserve"> </w:t>
      </w:r>
      <w:r w:rsidRPr="003E5D6E" w:rsidR="00903F8E">
        <w:rPr>
          <w:rFonts w:ascii="Arial" w:hAnsi="Arial" w:cs="Arial"/>
          <w:b/>
          <w:bCs/>
          <w:sz w:val="20"/>
          <w:szCs w:val="20"/>
        </w:rPr>
        <w:t>Henry Ford Health System</w:t>
      </w:r>
      <w:r w:rsidRPr="003E5D6E" w:rsidR="00CC477A">
        <w:rPr>
          <w:rFonts w:ascii="Arial" w:hAnsi="Arial" w:cs="Arial"/>
          <w:sz w:val="20"/>
          <w:szCs w:val="20"/>
        </w:rPr>
        <w:t xml:space="preserve"> </w:t>
      </w:r>
      <w:r w:rsidRPr="003E5D6E">
        <w:rPr>
          <w:rFonts w:ascii="Arial" w:hAnsi="Arial" w:cs="Arial"/>
          <w:sz w:val="20"/>
          <w:szCs w:val="20"/>
        </w:rPr>
        <w:t xml:space="preserve">designates this educational activity for a maximum of </w:t>
      </w:r>
      <w:r w:rsidRPr="003E5D6E" w:rsidR="00E04B48">
        <w:rPr>
          <w:rFonts w:ascii="Arial" w:hAnsi="Arial" w:cs="Arial"/>
          <w:noProof/>
          <w:sz w:val="20"/>
          <w:szCs w:val="20"/>
        </w:rPr>
        <w:t>2.75</w:t>
      </w:r>
      <w:r w:rsidRPr="003E5D6E">
        <w:rPr>
          <w:rFonts w:ascii="Arial" w:hAnsi="Arial" w:cs="Arial"/>
          <w:sz w:val="20"/>
          <w:szCs w:val="20"/>
        </w:rPr>
        <w:t xml:space="preserve"> AMA PRA Category 1 Credit</w:t>
      </w:r>
      <w:r w:rsidRPr="003E5D6E" w:rsidR="00877E7B">
        <w:rPr>
          <w:rFonts w:ascii="Arial" w:hAnsi="Arial" w:cs="Arial"/>
          <w:sz w:val="20"/>
          <w:szCs w:val="20"/>
        </w:rPr>
        <w:t>(s)</w:t>
      </w:r>
      <w:r w:rsidRPr="003E5D6E" w:rsidR="00053C8D">
        <w:rPr>
          <w:rFonts w:ascii="Arial" w:hAnsi="Arial" w:cs="Arial"/>
          <w:sz w:val="20"/>
          <w:szCs w:val="20"/>
        </w:rPr>
        <w:t>™</w:t>
      </w:r>
      <w:r w:rsidRPr="003E5D6E">
        <w:rPr>
          <w:rFonts w:ascii="Arial" w:hAnsi="Arial" w:cs="Arial"/>
          <w:sz w:val="20"/>
          <w:szCs w:val="20"/>
        </w:rPr>
        <w:t>. Physicians should only claim credit commensurate with the extent of their participation in the activity.</w:t>
      </w:r>
    </w:p>
    <w:p w:rsidR="003E5D6E" w:rsidP="003B6C7B">
      <w:pPr>
        <w:spacing w:line="240" w:lineRule="auto"/>
        <w:rPr>
          <w:rFonts w:ascii="Arial" w:hAnsi="Arial" w:cs="Arial"/>
          <w:sz w:val="20"/>
          <w:szCs w:val="20"/>
        </w:rPr>
      </w:pPr>
      <w:r w:rsidRPr="003E5D6E">
        <w:rPr>
          <w:rFonts w:ascii="Arial" w:hAnsi="Arial" w:cs="Arial"/>
          <w:b/>
          <w:bCs/>
          <w:sz w:val="20"/>
          <w:szCs w:val="20"/>
        </w:rPr>
        <w:t>FACULTY/PLANNING COMMITTEE DISCLOSURE STATEMENT:</w:t>
      </w:r>
      <w:r w:rsidRPr="003E5D6E">
        <w:rPr>
          <w:rFonts w:ascii="Arial" w:hAnsi="Arial" w:cs="Arial"/>
          <w:sz w:val="20"/>
          <w:szCs w:val="20"/>
        </w:rPr>
        <w:t xml:space="preserve">  In Compliance with the ACCME Standards for Commercial Support, all individuals in a position to control/influence the content of this activity are required to disclose relevant financial interests of their own or spouse or partners with any ACCME defined commercial interests for the past </w:t>
      </w:r>
      <w:r w:rsidR="007D5D04">
        <w:rPr>
          <w:rFonts w:ascii="Arial" w:hAnsi="Arial" w:cs="Arial"/>
          <w:sz w:val="20"/>
          <w:szCs w:val="20"/>
        </w:rPr>
        <w:t>24</w:t>
      </w:r>
      <w:r w:rsidRPr="003E5D6E">
        <w:rPr>
          <w:rFonts w:ascii="Arial" w:hAnsi="Arial" w:cs="Arial"/>
          <w:sz w:val="20"/>
          <w:szCs w:val="20"/>
        </w:rPr>
        <w:t xml:space="preserve"> months and/or any non-FDA approved use of a drug or a device that is included in the presentation.</w:t>
      </w:r>
      <w:r w:rsidR="007D5D04">
        <w:rPr>
          <w:rFonts w:ascii="Arial" w:hAnsi="Arial" w:cs="Arial"/>
          <w:sz w:val="20"/>
          <w:szCs w:val="20"/>
        </w:rPr>
        <w:t xml:space="preserve"> All relevant financial relationships have been mitigated. </w:t>
      </w:r>
    </w:p>
    <w:p w:rsidR="00B740AA" w:rsidRPr="00B740AA" w:rsidP="003B6C7B">
      <w:pPr>
        <w:spacing w:line="240" w:lineRule="auto"/>
        <w:rPr>
          <w:rFonts w:ascii="Arial" w:hAnsi="Arial" w:cs="Arial"/>
          <w:sz w:val="20"/>
          <w:szCs w:val="20"/>
        </w:rPr>
      </w:pPr>
      <w:r w:rsidRPr="00B740AA">
        <w:rPr>
          <w:rFonts w:ascii="Arial" w:hAnsi="Arial" w:cs="Arial"/>
          <w:b/>
          <w:bCs/>
          <w:sz w:val="20"/>
          <w:szCs w:val="20"/>
        </w:rPr>
        <w:t>ACCESSIBILITY STATEMENT</w:t>
      </w:r>
      <w:r>
        <w:rPr>
          <w:rFonts w:ascii="Arial" w:hAnsi="Arial" w:cs="Arial"/>
          <w:b/>
          <w:bCs/>
          <w:sz w:val="20"/>
          <w:szCs w:val="20"/>
        </w:rPr>
        <w:t xml:space="preserve">: </w:t>
      </w:r>
      <w:r w:rsidRPr="00B740AA">
        <w:rPr>
          <w:rFonts w:ascii="Arial" w:hAnsi="Arial" w:cs="Arial"/>
          <w:sz w:val="20"/>
          <w:szCs w:val="20"/>
        </w:rPr>
        <w:t>Henry Ford Health System Office of Continu</w:t>
      </w:r>
      <w:r w:rsidR="00F42D99">
        <w:rPr>
          <w:rFonts w:ascii="Arial" w:hAnsi="Arial" w:cs="Arial"/>
          <w:sz w:val="20"/>
          <w:szCs w:val="20"/>
        </w:rPr>
        <w:t xml:space="preserve">ing Medical Education is committed to ensuring that its programs, services, goods and facilities are accessible to individuals with disabilities as specified under Section 504 of the Rehabilitation Act of 1973 and the Americans with Disabilities Amendments Act of 2008. If you have needs that require special accommodations, including dietary concerns, please contact the CME Conference Coordinator. </w:t>
      </w:r>
    </w:p>
    <w:p w:rsidR="00375873" w:rsidRPr="003E5D6E" w:rsidP="006A623D">
      <w:pPr>
        <w:spacing w:line="240" w:lineRule="auto"/>
        <w:rPr>
          <w:rFonts w:ascii="Arial" w:hAnsi="Arial" w:cs="Arial"/>
          <w:sz w:val="20"/>
          <w:szCs w:val="20"/>
        </w:rPr>
      </w:pPr>
    </w:p>
    <w:p w:rsidR="00993B4D" w:rsidRPr="003E5D6E" w:rsidP="006A623D">
      <w:pPr>
        <w:spacing w:line="240" w:lineRule="auto"/>
        <w:rPr>
          <w:rFonts w:ascii="Arial" w:hAnsi="Arial" w:cs="Arial"/>
          <w:sz w:val="20"/>
          <w:szCs w:val="20"/>
        </w:rPr>
      </w:pPr>
      <w:r w:rsidRPr="003E5D6E">
        <w:rPr>
          <w:rFonts w:ascii="Arial" w:hAnsi="Arial" w:cs="Arial"/>
          <w:sz w:val="20"/>
          <w:szCs w:val="20"/>
        </w:rPr>
        <w:fldChar w:fldCharType="begin"/>
      </w:r>
      <w:r w:rsidRPr="003E5D6E">
        <w:rPr>
          <w:rFonts w:ascii="Arial" w:hAnsi="Arial" w:cs="Arial"/>
          <w:sz w:val="20"/>
          <w:szCs w:val="20"/>
        </w:rPr>
        <w:instrText xml:space="preserve"> IF  </w:instrText>
      </w:r>
      <w:r w:rsidRPr="003E5D6E" w:rsidR="00781A36">
        <w:rPr>
          <w:rFonts w:ascii="Arial" w:hAnsi="Arial" w:cs="Arial"/>
          <w:sz w:val="20"/>
          <w:szCs w:val="20"/>
        </w:rPr>
        <w:instrText>"</w:instrText>
      </w:r>
      <w:r w:rsidRPr="003E5D6E" w:rsidR="00781A36">
        <w:rPr>
          <w:rFonts w:ascii="Arial" w:hAnsi="Arial" w:cs="Arial"/>
          <w:sz w:val="20"/>
          <w:szCs w:val="20"/>
        </w:rPr>
        <w:instrText>"</w:instrText>
      </w:r>
      <w:r w:rsidRPr="003E5D6E" w:rsidR="00781A36">
        <w:rPr>
          <w:rFonts w:ascii="Arial" w:hAnsi="Arial" w:cs="Arial"/>
          <w:sz w:val="20"/>
          <w:szCs w:val="20"/>
        </w:rPr>
        <w:instrText xml:space="preserve"> &lt;&gt; "" "If you have questions, please email </w:instrText>
      </w:r>
      <w:r w:rsidRPr="003E5D6E" w:rsidR="00781A36">
        <w:rPr>
          <w:rFonts w:ascii="Arial" w:hAnsi="Arial" w:cs="Arial"/>
          <w:sz w:val="20"/>
          <w:szCs w:val="20"/>
        </w:rPr>
        <w:fldChar w:fldCharType="begin"/>
      </w:r>
      <w:r w:rsidRPr="003E5D6E" w:rsidR="00781A36">
        <w:rPr>
          <w:rFonts w:ascii="Arial" w:hAnsi="Arial" w:cs="Arial"/>
          <w:sz w:val="20"/>
          <w:szCs w:val="20"/>
        </w:rPr>
        <w:instrText xml:space="preserve"> MERGEFIELD Coordinator \* MERGEFORMAT </w:instrText>
      </w:r>
      <w:r w:rsidRPr="003E5D6E" w:rsidR="00781A36">
        <w:rPr>
          <w:rFonts w:ascii="Arial" w:hAnsi="Arial" w:cs="Arial"/>
          <w:sz w:val="20"/>
          <w:szCs w:val="20"/>
        </w:rPr>
        <w:fldChar w:fldCharType="separate"/>
      </w:r>
      <w:r w:rsidRPr="003E5D6E" w:rsidR="00781A36">
        <w:rPr>
          <w:rFonts w:ascii="Arial" w:hAnsi="Arial" w:cs="Arial"/>
          <w:noProof/>
          <w:sz w:val="20"/>
          <w:szCs w:val="20"/>
        </w:rPr>
        <w:instrText>«Coordinator»</w:instrText>
      </w:r>
      <w:r w:rsidRPr="003E5D6E" w:rsidR="00781A36">
        <w:rPr>
          <w:rFonts w:ascii="Arial" w:hAnsi="Arial" w:cs="Arial"/>
          <w:sz w:val="20"/>
          <w:szCs w:val="20"/>
        </w:rPr>
        <w:fldChar w:fldCharType="end"/>
      </w:r>
      <w:r w:rsidRPr="003E5D6E" w:rsidR="00781A36">
        <w:rPr>
          <w:rFonts w:ascii="Arial" w:hAnsi="Arial" w:cs="Arial"/>
          <w:sz w:val="20"/>
          <w:szCs w:val="20"/>
        </w:rPr>
        <w:instrText xml:space="preserve"> at </w:instrText>
      </w:r>
      <w:r w:rsidRPr="003E5D6E" w:rsidR="00781A36">
        <w:rPr>
          <w:rFonts w:ascii="Arial" w:hAnsi="Arial" w:cs="Arial"/>
          <w:sz w:val="20"/>
          <w:szCs w:val="20"/>
        </w:rPr>
        <w:fldChar w:fldCharType="begin"/>
      </w:r>
      <w:r w:rsidRPr="003E5D6E" w:rsidR="00781A36">
        <w:rPr>
          <w:rFonts w:ascii="Arial" w:hAnsi="Arial" w:cs="Arial"/>
          <w:sz w:val="20"/>
          <w:szCs w:val="20"/>
        </w:rPr>
        <w:instrText xml:space="preserve"> MERGEFIELD CoordinatorEmail \* MERGEFORMAT </w:instrText>
      </w:r>
      <w:r w:rsidRPr="003E5D6E" w:rsidR="00781A36">
        <w:rPr>
          <w:rFonts w:ascii="Arial" w:hAnsi="Arial" w:cs="Arial"/>
          <w:sz w:val="20"/>
          <w:szCs w:val="20"/>
        </w:rPr>
        <w:fldChar w:fldCharType="separate"/>
      </w:r>
      <w:r w:rsidRPr="003E5D6E" w:rsidR="00781A36">
        <w:rPr>
          <w:rFonts w:ascii="Arial" w:hAnsi="Arial" w:cs="Arial"/>
          <w:noProof/>
          <w:sz w:val="20"/>
          <w:szCs w:val="20"/>
        </w:rPr>
        <w:instrText>«CoordinatorEmail»</w:instrText>
      </w:r>
      <w:r w:rsidRPr="003E5D6E" w:rsidR="00781A36">
        <w:rPr>
          <w:rFonts w:ascii="Arial" w:hAnsi="Arial" w:cs="Arial"/>
          <w:sz w:val="20"/>
          <w:szCs w:val="20"/>
        </w:rPr>
        <w:fldChar w:fldCharType="end"/>
      </w:r>
      <w:r w:rsidRPr="003E5D6E" w:rsidR="00781A36">
        <w:rPr>
          <w:rFonts w:ascii="Arial" w:hAnsi="Arial" w:cs="Arial"/>
          <w:sz w:val="20"/>
          <w:szCs w:val="20"/>
        </w:rPr>
        <w:instrText xml:space="preserve">." "" </w:instrText>
      </w:r>
      <w:r w:rsidRPr="003E5D6E">
        <w:rPr>
          <w:rFonts w:ascii="Arial" w:hAnsi="Arial" w:cs="Arial"/>
          <w:sz w:val="20"/>
          <w:szCs w:val="20"/>
        </w:rPr>
        <w:instrText xml:space="preserve">\* MERGEFORMAT </w:instrText>
      </w:r>
      <w:r w:rsidRPr="003E5D6E">
        <w:rPr>
          <w:rFonts w:ascii="Arial" w:hAnsi="Arial" w:cs="Arial"/>
          <w:sz w:val="20"/>
          <w:szCs w:val="20"/>
        </w:rPr>
        <w:fldChar w:fldCharType="separate"/>
      </w:r>
      <w:r w:rsidRPr="003E5D6E">
        <w:rPr>
          <w:rFonts w:ascii="Arial" w:hAnsi="Arial" w:cs="Arial"/>
          <w:sz w:val="20"/>
          <w:szCs w:val="20"/>
        </w:rPr>
        <w:fldChar w:fldCharType="end"/>
      </w:r>
    </w:p>
    <w:sectPr w:rsidSect="00FE0264">
      <w:pgSz w:w="12240" w:h="15840"/>
      <w:pgMar w:top="1008" w:right="1008"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3B4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Square, Tyrone</cp:lastModifiedBy>
  <cp:revision>3</cp:revision>
  <dcterms:created xsi:type="dcterms:W3CDTF">2021-04-26T12:24:00Z</dcterms:created>
  <dcterms:modified xsi:type="dcterms:W3CDTF">2021-05-03T12:23:00Z</dcterms:modified>
</cp:coreProperties>
</file>