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4B48" w:rsidRPr="003F5D69" w:rsidP="007A7979">
      <w:pPr>
        <w:spacing w:line="240" w:lineRule="auto"/>
        <w:jc w:val="center"/>
        <w:rPr>
          <w:rFonts w:cs="Arial"/>
          <w:b/>
          <w:noProof/>
          <w:sz w:val="28"/>
          <w:szCs w:val="28"/>
        </w:rPr>
      </w:pPr>
      <w:r>
        <w:rPr>
          <w:noProof/>
          <w:color w:val="44546A"/>
        </w:rPr>
        <w:drawing>
          <wp:inline distT="0" distB="0" distL="0" distR="0">
            <wp:extent cx="3619500" cy="323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4" r:link="rId5">
                      <a:extLst>
                        <a:ext uri="{28A0092B-C50C-407E-A947-70E740481C1C}">
                          <a14:useLocalDpi xmlns:a14="http://schemas.microsoft.com/office/drawing/2010/main" val="0"/>
                        </a:ext>
                      </a:extLst>
                    </a:blip>
                    <a:srcRect/>
                    <a:stretch>
                      <a:fillRect/>
                    </a:stretch>
                  </pic:blipFill>
                  <pic:spPr bwMode="auto">
                    <a:xfrm>
                      <a:off x="0" y="0"/>
                      <a:ext cx="3622954" cy="324159"/>
                    </a:xfrm>
                    <a:prstGeom prst="rect">
                      <a:avLst/>
                    </a:prstGeom>
                    <a:noFill/>
                    <a:ln>
                      <a:noFill/>
                    </a:ln>
                  </pic:spPr>
                </pic:pic>
              </a:graphicData>
            </a:graphic>
          </wp:inline>
        </w:drawing>
      </w:r>
      <w:r w:rsidRPr="003F5D69" w:rsidR="004D5DAE">
        <w:rPr>
          <w:rFonts w:cs="Arial"/>
        </w:rPr>
        <w:br/>
      </w:r>
      <w:r w:rsidRPr="003F5D69" w:rsidR="007B0FAA">
        <w:rPr>
          <w:rFonts w:cs="Arial"/>
          <w:b/>
          <w:color w:val="31849B" w:themeColor="accent5" w:themeShade="BF"/>
          <w:sz w:val="28"/>
          <w:szCs w:val="28"/>
        </w:rPr>
        <w:br/>
      </w:r>
      <w:r w:rsidRPr="003F5D69" w:rsidR="005220D6">
        <w:rPr>
          <w:rFonts w:cs="Arial"/>
          <w:b/>
          <w:bCs/>
          <w:noProof/>
          <w:sz w:val="28"/>
          <w:szCs w:val="28"/>
        </w:rPr>
        <w:t>Barriers to</w:t>
      </w:r>
      <w:r w:rsidRPr="003F5D69" w:rsidR="005220D6">
        <w:rPr>
          <w:rFonts w:cs="Arial"/>
          <w:b/>
          <w:bCs/>
          <w:sz w:val="28"/>
          <w:szCs w:val="28"/>
        </w:rPr>
        <w:t xml:space="preserve"> Medication Adherence - Addressing Cost and Patient Understanding</w:t>
      </w:r>
      <w:r w:rsidRPr="003F5D69" w:rsidR="00993B4D">
        <w:rPr>
          <w:rFonts w:cs="Arial"/>
          <w:b/>
          <w:noProof/>
          <w:sz w:val="28"/>
          <w:szCs w:val="28"/>
        </w:rPr>
        <w:t xml:space="preserve"> </w:t>
      </w:r>
      <w:r w:rsidRPr="003F5D69" w:rsidR="005220D6">
        <w:rPr>
          <w:rFonts w:cs="Arial"/>
          <w:b/>
          <w:noProof/>
          <w:sz w:val="28"/>
          <w:szCs w:val="28"/>
        </w:rPr>
        <w:t xml:space="preserve">| </w:t>
      </w:r>
      <w:r w:rsidRPr="003F5D69" w:rsidR="005220D6">
        <w:rPr>
          <w:rFonts w:cs="Arial"/>
          <w:b/>
          <w:noProof/>
          <w:sz w:val="28"/>
          <w:szCs w:val="28"/>
        </w:rPr>
        <w:t>10/13</w:t>
      </w:r>
      <w:r w:rsidRPr="003F5D69" w:rsidR="005220D6">
        <w:rPr>
          <w:rFonts w:cs="Arial"/>
          <w:b/>
          <w:noProof/>
          <w:sz w:val="28"/>
          <w:szCs w:val="28"/>
        </w:rPr>
        <w:t>/2022 12:00:00 PM</w:t>
      </w:r>
      <w:r w:rsidRPr="003F5D69" w:rsidR="00FE207D">
        <w:rPr>
          <w:rFonts w:cs="Arial"/>
          <w:b/>
          <w:noProof/>
          <w:sz w:val="28"/>
          <w:szCs w:val="28"/>
        </w:rPr>
        <w:t xml:space="preserve"> </w:t>
      </w:r>
      <w:r w:rsidRPr="003F5D69">
        <w:rPr>
          <w:rFonts w:cs="Arial"/>
          <w:b/>
          <w:noProof/>
          <w:sz w:val="28"/>
          <w:szCs w:val="28"/>
        </w:rPr>
        <w:t>Online</w:t>
      </w:r>
    </w:p>
    <w:p w:rsidR="00B635C4" w:rsidRPr="003F5D69" w:rsidP="006A623D">
      <w:pPr>
        <w:spacing w:line="240" w:lineRule="auto"/>
        <w:rPr>
          <w:rFonts w:cs="Arial"/>
          <w:sz w:val="24"/>
        </w:rPr>
      </w:pPr>
      <w:r>
        <w:rPr>
          <w:rtl w:val="0"/>
        </w:rPr>
        <w:t xml:space="preserve">Barriers to Medication Adherence: Addressing Cost and Patient Understanding. In our world of value-based contracts, medication adherence can play a major role in quality scores due to patient outcomes. Yet, most physicians have very little visibility into patient adherence regarding recommended medications once the visit is completed. This webinar aims to provide an analysis of the issue of medication affordability and the clinical implications for patient adherence to treatment recommendations. Expert speakers will give insights into the key components of medication management and provide tools for how physicians can help their patients to best navigate this common process. A comprehensive overview of this theme will be discussed by keynote speaker, Dr. Rox Gatia, PharmD – Vice President of Pharmacy for Henry Ford Health. Dr. Gatia will delve into this topic from a system-level perspective, and will discuss the important interactions between physicians, patients, payers, and providers that contribute to medication affordability and adherence. Participants will have the opportunity to ask questions of Dr. Gatia following his brief presentation. Next, HFPN President and CEO Dr. Bruce Muma will moderate a panel discussion with Dr. Gatia alongside Dr. Sandra Nowak, PharmD, manager of the Henry Ford Health Medication Therapy Management team and Sarah Spannbauer, healthcare strategy analyst for General Motors (GM). Dr. Nowak will provide her perspective on the tools used to help patients manage their prescriptions and address patient questions related to medicines or supplements, in addition to discussing the significance of pharmacist-patient interactions. Sarah will discuss how GM, as payer in a direct-to-employer contract, educates employees/enrollees on medication related concerns. </w:t>
      </w:r>
    </w:p>
    <w:p w:rsidR="00815BB5" w:rsidRPr="003F5D69" w:rsidP="006A623D">
      <w:pPr>
        <w:spacing w:line="240" w:lineRule="auto"/>
        <w:rPr>
          <w:rFonts w:cs="Arial"/>
          <w:b/>
          <w:sz w:val="24"/>
          <w:szCs w:val="24"/>
        </w:rPr>
      </w:pPr>
      <w:r w:rsidRPr="003F5D69">
        <w:rPr>
          <w:rFonts w:cs="Arial"/>
          <w:b/>
          <w:sz w:val="24"/>
          <w:szCs w:val="24"/>
        </w:rPr>
        <w:t>Program Goal</w:t>
      </w:r>
    </w:p>
    <w:p w:rsidR="00993B4D" w:rsidRPr="003F5D69" w:rsidP="006A623D">
      <w:pPr>
        <w:spacing w:line="240" w:lineRule="auto"/>
        <w:rPr>
          <w:rFonts w:cs="Arial"/>
          <w:color w:val="000000" w:themeColor="text1"/>
          <w:sz w:val="24"/>
          <w:szCs w:val="24"/>
        </w:rPr>
      </w:pPr>
      <w:r w:rsidRPr="003F5D69">
        <w:rPr>
          <w:rFonts w:cs="Arial"/>
          <w:noProof/>
          <w:sz w:val="24"/>
          <w:szCs w:val="24"/>
        </w:rPr>
        <w:t>1  Increase</w:t>
      </w:r>
      <w:r w:rsidRPr="003F5D69">
        <w:rPr>
          <w:rFonts w:cs="Arial"/>
        </w:rPr>
        <w:t xml:space="preserve"> understanding on the scope of the issue of medication affordability</w:t>
      </w:r>
    </w:p>
    <w:p w:rsidRPr="003F5D69" w:rsidP="006A623D">
      <w:pPr>
        <w:spacing w:line="240" w:lineRule="auto"/>
        <w:rPr>
          <w:rFonts w:cs="Arial"/>
        </w:rPr>
      </w:pPr>
      <w:r w:rsidRPr="003F5D69">
        <w:rPr>
          <w:rFonts w:cs="Arial"/>
        </w:rPr>
        <w:t>2 Increase understanding of the implications of affordability on patient adherence</w:t>
      </w:r>
    </w:p>
    <w:p w:rsidRPr="003F5D69" w:rsidP="006A623D">
      <w:pPr>
        <w:spacing w:line="240" w:lineRule="auto"/>
        <w:rPr>
          <w:rFonts w:cs="Arial"/>
        </w:rPr>
      </w:pPr>
      <w:r w:rsidRPr="003F5D69">
        <w:rPr>
          <w:rFonts w:cs="Arial"/>
        </w:rPr>
        <w:t>3 Gain knowledge of tools/resources available to assist patients with their medication management needs</w:t>
      </w:r>
    </w:p>
    <w:p w:rsidRPr="003F5D69" w:rsidP="006A623D">
      <w:pPr>
        <w:spacing w:line="240" w:lineRule="auto"/>
        <w:rPr>
          <w:rFonts w:cs="Arial"/>
        </w:rPr>
      </w:pPr>
      <w:r w:rsidRPr="003F5D69">
        <w:rPr>
          <w:rFonts w:cs="Arial"/>
        </w:rPr>
        <w:t>4 Gain transparency into the entire process of medication management, considering the interactions between physicians, patients, pharmacists, payers, and others</w:t>
      </w:r>
    </w:p>
    <w:p w:rsidRPr="003F5D69" w:rsidP="006A623D">
      <w:pPr>
        <w:spacing w:line="240" w:lineRule="auto"/>
        <w:rPr>
          <w:rFonts w:cs="Arial"/>
        </w:rPr>
      </w:pPr>
      <w:r w:rsidRPr="003F5D69">
        <w:rPr>
          <w:rFonts w:cs="Arial"/>
        </w:rPr>
        <w:t>5 Knowledge on how Henry Ford Health has approached this issue through programs and resources for patients</w:t>
      </w:r>
    </w:p>
    <w:p w:rsidR="00993B4D" w:rsidRPr="003F5D69" w:rsidP="006A623D">
      <w:pPr>
        <w:spacing w:line="240" w:lineRule="auto"/>
        <w:rPr>
          <w:rFonts w:cs="Arial"/>
          <w:color w:val="000000" w:themeColor="text1"/>
          <w:sz w:val="24"/>
          <w:szCs w:val="24"/>
        </w:rPr>
      </w:pPr>
      <w:r w:rsidRPr="003F5D69">
        <w:rPr>
          <w:rFonts w:cs="Arial"/>
        </w:rPr>
        <w:t>6 See the perspective of a payer/employer on how medication adherence is approached with beneficiaries</w:t>
      </w:r>
    </w:p>
    <w:p w:rsidR="00375873" w:rsidRPr="003F5D69" w:rsidP="00CC477A">
      <w:pPr>
        <w:spacing w:line="240" w:lineRule="auto"/>
        <w:rPr>
          <w:rFonts w:cs="Arial"/>
          <w:b/>
          <w:sz w:val="24"/>
          <w:szCs w:val="24"/>
        </w:rPr>
      </w:pPr>
      <w:r w:rsidRPr="003F5D69">
        <w:rPr>
          <w:rFonts w:cs="Arial"/>
          <w:b/>
          <w:sz w:val="24"/>
          <w:szCs w:val="24"/>
        </w:rPr>
        <w:t>Target Audience</w:t>
      </w:r>
      <w:r w:rsidRPr="003F5D69" w:rsidR="00E04B48">
        <w:rPr>
          <w:rFonts w:cs="Arial"/>
          <w:b/>
          <w:sz w:val="24"/>
          <w:szCs w:val="24"/>
        </w:rPr>
        <w:t xml:space="preserve"> </w:t>
      </w:r>
      <w:r w:rsidRPr="003F5D69" w:rsidR="00BE6F87">
        <w:rPr>
          <w:rFonts w:cs="Arial"/>
          <w:noProof/>
        </w:rPr>
        <w:t>Family Medicine</w:t>
      </w:r>
    </w:p>
    <w:p w:rsidR="003729D7" w:rsidRPr="003F5D69" w:rsidP="00CC477A">
      <w:pPr>
        <w:spacing w:line="240" w:lineRule="auto"/>
        <w:rPr>
          <w:rFonts w:cs="Arial"/>
          <w:b/>
          <w:bCs/>
          <w:noProof/>
          <w:sz w:val="24"/>
          <w:szCs w:val="24"/>
        </w:rPr>
      </w:pPr>
      <w:r w:rsidRPr="003F5D69">
        <w:rPr>
          <w:rFonts w:cs="Arial"/>
          <w:b/>
          <w:bCs/>
          <w:noProof/>
          <w:sz w:val="24"/>
          <w:szCs w:val="24"/>
        </w:rPr>
        <w:t>Faculty</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Ineligible Company(s) / Nature of Relationship(s)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Theresa Porada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- 05/05/2022</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Crystal M Gyiraszin,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- 12/14/2021</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Alyssa Smith,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Specialist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- 05/17/2022</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Bruce K Muma,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- 05/14/2022</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Rox Gatia II, PharmD, PharmD, MHSA, BCPS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- 09/09/2022</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Sandra Nowak, PharmD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- 09/09/2022</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Spannbauer,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- 09/08/2022</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Cyndy Lambert,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- 10/03/2022</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Aaron Sohaski, JD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- 06/20/2022</w:t>
            </w:r>
          </w:p>
        </w:tc>
      </w:tr>
    </w:tbl>
    <w:p w:rsidR="00F10D18" w:rsidRPr="00F10D18">
      <w:pPr>
        <w:bidi w:val="0"/>
        <w:spacing w:after="280" w:afterAutospacing="1"/>
        <w:rPr>
          <w:rFonts w:cs="Arial"/>
          <w:b/>
          <w:bCs/>
          <w:noProof/>
          <w:sz w:val="24"/>
          <w:szCs w:val="24"/>
        </w:rPr>
      </w:pPr>
    </w:p>
    <w:p w:rsidR="00F10D18" w:rsidP="00247C5E">
      <w:pPr>
        <w:spacing w:after="0" w:line="240" w:lineRule="auto"/>
      </w:pPr>
      <w:r>
        <w:t>All of</w:t>
      </w:r>
      <w:r>
        <w:t xml:space="preserve"> the relevant financial relationships listed for these individuals have been mitigated.</w:t>
      </w:r>
    </w:p>
    <w:p w:rsidR="00247C5E" w:rsidP="00247C5E">
      <w:pPr>
        <w:spacing w:after="0" w:line="240" w:lineRule="auto"/>
        <w:rPr>
          <w:rFonts w:cs="Arial"/>
          <w:b/>
          <w:bCs/>
          <w:sz w:val="20"/>
          <w:szCs w:val="20"/>
        </w:rPr>
      </w:pPr>
    </w:p>
    <w:p w:rsidR="00CC477A" w:rsidRPr="003F5D69" w:rsidP="00CC477A">
      <w:pPr>
        <w:spacing w:line="240" w:lineRule="auto"/>
        <w:rPr>
          <w:rFonts w:cs="Arial"/>
          <w:sz w:val="20"/>
          <w:szCs w:val="20"/>
        </w:rPr>
      </w:pPr>
      <w:r w:rsidRPr="003F5D69">
        <w:rPr>
          <w:rFonts w:cs="Arial"/>
          <w:b/>
          <w:bCs/>
          <w:sz w:val="20"/>
          <w:szCs w:val="20"/>
        </w:rPr>
        <w:t xml:space="preserve">ACCREDITATION STATEMENT: </w:t>
      </w:r>
      <w:r w:rsidRPr="003F5D69" w:rsidR="00053C8D">
        <w:rPr>
          <w:rFonts w:cs="Arial"/>
          <w:b/>
          <w:bCs/>
          <w:sz w:val="20"/>
          <w:szCs w:val="20"/>
        </w:rPr>
        <w:t>Henry Ford Health System</w:t>
      </w:r>
      <w:r w:rsidRPr="003F5D69">
        <w:rPr>
          <w:rFonts w:cs="Arial"/>
          <w:sz w:val="20"/>
          <w:szCs w:val="20"/>
        </w:rPr>
        <w:t xml:space="preserve"> is accredited by the Accreditation Council for Continuing Medical Education (ACCME) to provide continuing medical education for physicians.</w:t>
      </w:r>
    </w:p>
    <w:p w:rsidR="00993B4D" w:rsidRPr="003F5D69" w:rsidP="003B6C7B">
      <w:pPr>
        <w:spacing w:line="240" w:lineRule="auto"/>
        <w:rPr>
          <w:rFonts w:cs="Arial"/>
          <w:sz w:val="20"/>
          <w:szCs w:val="20"/>
        </w:rPr>
      </w:pPr>
      <w:r w:rsidRPr="003F5D69">
        <w:rPr>
          <w:rFonts w:cs="Arial"/>
          <w:b/>
          <w:bCs/>
          <w:sz w:val="20"/>
          <w:szCs w:val="20"/>
        </w:rPr>
        <w:t>DESIGNATION STATEMENT:</w:t>
      </w:r>
      <w:r w:rsidRPr="003F5D69">
        <w:rPr>
          <w:b/>
          <w:bCs/>
          <w:sz w:val="20"/>
          <w:szCs w:val="20"/>
        </w:rPr>
        <w:t xml:space="preserve"> </w:t>
      </w:r>
      <w:r w:rsidRPr="003F5D69" w:rsidR="00903F8E">
        <w:rPr>
          <w:rFonts w:cs="Arial"/>
          <w:b/>
          <w:bCs/>
          <w:sz w:val="20"/>
          <w:szCs w:val="20"/>
        </w:rPr>
        <w:t>Henry Ford Health System</w:t>
      </w:r>
      <w:r w:rsidRPr="003F5D69" w:rsidR="00CC477A">
        <w:rPr>
          <w:rFonts w:cs="Arial"/>
          <w:sz w:val="20"/>
          <w:szCs w:val="20"/>
        </w:rPr>
        <w:t xml:space="preserve"> </w:t>
      </w:r>
      <w:r w:rsidRPr="003F5D69">
        <w:rPr>
          <w:rFonts w:cs="Arial"/>
          <w:sz w:val="20"/>
          <w:szCs w:val="20"/>
        </w:rPr>
        <w:t xml:space="preserve">designates this educational activity for a maximum of </w:t>
      </w:r>
      <w:r w:rsidRPr="003F5D69" w:rsidR="00E04B48">
        <w:rPr>
          <w:rFonts w:cs="Arial"/>
          <w:noProof/>
          <w:sz w:val="20"/>
          <w:szCs w:val="20"/>
        </w:rPr>
        <w:t>1.00</w:t>
      </w:r>
      <w:r w:rsidRPr="003F5D69">
        <w:rPr>
          <w:rFonts w:cs="Arial"/>
          <w:sz w:val="20"/>
          <w:szCs w:val="20"/>
        </w:rPr>
        <w:t xml:space="preserve"> AMA PRA Category 1 Credit</w:t>
      </w:r>
      <w:r w:rsidRPr="003F5D69" w:rsidR="00877E7B">
        <w:rPr>
          <w:rFonts w:cs="Arial"/>
          <w:sz w:val="20"/>
          <w:szCs w:val="20"/>
        </w:rPr>
        <w:t>(s)</w:t>
      </w:r>
      <w:r w:rsidRPr="003F5D69" w:rsidR="00053C8D">
        <w:rPr>
          <w:rFonts w:cs="Arial"/>
          <w:sz w:val="20"/>
          <w:szCs w:val="20"/>
        </w:rPr>
        <w:t>™</w:t>
      </w:r>
      <w:r w:rsidRPr="003F5D69">
        <w:rPr>
          <w:rFonts w:cs="Arial"/>
          <w:sz w:val="20"/>
          <w:szCs w:val="20"/>
        </w:rPr>
        <w:t>. Physicians should only claim credit commensurate with the extent of their participation in the activity.</w:t>
      </w:r>
    </w:p>
    <w:p w:rsidR="003E5D6E" w:rsidRPr="003F5D69" w:rsidP="003B6C7B">
      <w:pPr>
        <w:spacing w:line="240" w:lineRule="auto"/>
        <w:rPr>
          <w:rFonts w:cs="Arial"/>
          <w:sz w:val="20"/>
          <w:szCs w:val="20"/>
        </w:rPr>
      </w:pPr>
      <w:r w:rsidRPr="003F5D69">
        <w:rPr>
          <w:rFonts w:cs="Arial"/>
          <w:b/>
          <w:bCs/>
          <w:sz w:val="20"/>
          <w:szCs w:val="20"/>
        </w:rPr>
        <w:t>FACULTY/PLANNING COMMITTEE DISCLOSURE STATEMENT:</w:t>
      </w:r>
      <w:r w:rsidRPr="003F5D69">
        <w:rPr>
          <w:rFonts w:cs="Arial"/>
          <w:sz w:val="20"/>
          <w:szCs w:val="20"/>
        </w:rPr>
        <w:t xml:space="preserve">  In Compliance with the ACCME Standards for Commercial Support, all individuals in a position to control/influence the content of this activity are required to disclose relevant financial interests of their own or spouse or partners with any ACCME defined commercial interests for the past </w:t>
      </w:r>
      <w:r w:rsidRPr="003F5D69" w:rsidR="007D5D04">
        <w:rPr>
          <w:rFonts w:cs="Arial"/>
          <w:sz w:val="20"/>
          <w:szCs w:val="20"/>
        </w:rPr>
        <w:t>24</w:t>
      </w:r>
      <w:r w:rsidRPr="003F5D69">
        <w:rPr>
          <w:rFonts w:cs="Arial"/>
          <w:sz w:val="20"/>
          <w:szCs w:val="20"/>
        </w:rPr>
        <w:t xml:space="preserve"> months and/or any non-FDA approved use of a drug or a device that is included in the presentation.</w:t>
      </w:r>
      <w:r w:rsidRPr="003F5D69" w:rsidR="007D5D04">
        <w:rPr>
          <w:rFonts w:cs="Arial"/>
          <w:sz w:val="20"/>
          <w:szCs w:val="20"/>
        </w:rPr>
        <w:t xml:space="preserve"> All relevant financial relationships have been mitigated. </w:t>
      </w:r>
    </w:p>
    <w:p w:rsidR="00375873" w:rsidRPr="003F5D69" w:rsidP="006A623D">
      <w:pPr>
        <w:spacing w:line="240" w:lineRule="auto"/>
        <w:rPr>
          <w:rFonts w:cs="Arial"/>
          <w:sz w:val="20"/>
          <w:szCs w:val="20"/>
        </w:rPr>
      </w:pPr>
      <w:r w:rsidRPr="003F5D69">
        <w:rPr>
          <w:rFonts w:cs="Arial"/>
          <w:b/>
          <w:bCs/>
          <w:sz w:val="20"/>
          <w:szCs w:val="20"/>
        </w:rPr>
        <w:t>ACCESSIBILITY STATEMENT</w:t>
      </w:r>
      <w:r w:rsidRPr="003F5D69" w:rsidR="00B740AA">
        <w:rPr>
          <w:rFonts w:cs="Arial"/>
          <w:b/>
          <w:bCs/>
          <w:sz w:val="20"/>
          <w:szCs w:val="20"/>
        </w:rPr>
        <w:t xml:space="preserve">: </w:t>
      </w:r>
      <w:r w:rsidRPr="003F5D69" w:rsidR="00B740AA">
        <w:rPr>
          <w:rFonts w:cs="Arial"/>
          <w:sz w:val="20"/>
          <w:szCs w:val="20"/>
        </w:rPr>
        <w:t>Henry Ford Health System Office of Continu</w:t>
      </w:r>
      <w:r w:rsidRPr="003F5D69" w:rsidR="00F42D99">
        <w:rPr>
          <w:rFonts w:cs="Arial"/>
          <w:sz w:val="20"/>
          <w:szCs w:val="20"/>
        </w:rPr>
        <w:t xml:space="preserve">ing Medical Education is committed to ensuring that its programs, services, </w:t>
      </w:r>
      <w:r w:rsidRPr="003F5D69" w:rsidR="00F42D99">
        <w:rPr>
          <w:rFonts w:cs="Arial"/>
          <w:sz w:val="20"/>
          <w:szCs w:val="20"/>
        </w:rPr>
        <w:t>goods</w:t>
      </w:r>
      <w:r w:rsidRPr="003F5D69" w:rsidR="00F42D99">
        <w:rPr>
          <w:rFonts w:cs="Arial"/>
          <w:sz w:val="20"/>
          <w:szCs w:val="20"/>
        </w:rPr>
        <w:t xml:space="preserve"> and facilities are accessible to individuals with disabilities as specified under Section 504 of the Rehabilitation Act of 1973 and the Americans with Disabilities Amendments Act of 2008. If you have needs that require special accommodations, including dietary concerns, please contact the CME Conference Coordinator. </w:t>
      </w:r>
    </w:p>
    <w:p w:rsidR="00993B4D" w:rsidRPr="003F5D69" w:rsidP="006A623D">
      <w:pPr>
        <w:spacing w:line="240" w:lineRule="auto"/>
        <w:rPr>
          <w:rFonts w:cs="Arial"/>
          <w:sz w:val="20"/>
          <w:szCs w:val="20"/>
        </w:rPr>
      </w:pPr>
      <w:r w:rsidRPr="003F5D69">
        <w:rPr>
          <w:rFonts w:cs="Arial"/>
          <w:sz w:val="20"/>
          <w:szCs w:val="20"/>
        </w:rPr>
        <w:fldChar w:fldCharType="begin"/>
      </w:r>
      <w:r w:rsidRPr="003F5D69">
        <w:rPr>
          <w:rFonts w:cs="Arial"/>
          <w:sz w:val="20"/>
          <w:szCs w:val="20"/>
        </w:rPr>
        <w:instrText xml:space="preserve"> IF  </w:instrText>
      </w:r>
      <w:r w:rsidRPr="003F5D69" w:rsidR="00781A36">
        <w:rPr>
          <w:rFonts w:cs="Arial"/>
          <w:sz w:val="20"/>
          <w:szCs w:val="20"/>
        </w:rPr>
        <w:instrText>"</w:instrText>
      </w:r>
      <w:r w:rsidRPr="003F5D69" w:rsidR="00781A36">
        <w:rPr>
          <w:rFonts w:cs="Arial"/>
          <w:sz w:val="20"/>
          <w:szCs w:val="20"/>
        </w:rPr>
        <w:instrText>"</w:instrText>
      </w:r>
      <w:r w:rsidRPr="003F5D69" w:rsidR="00781A36">
        <w:rPr>
          <w:rFonts w:cs="Arial"/>
          <w:sz w:val="20"/>
          <w:szCs w:val="20"/>
        </w:rPr>
        <w:instrText xml:space="preserve"> &lt;&gt; "" "If you have questions, please email </w:instrText>
      </w:r>
      <w:r w:rsidRPr="003F5D69" w:rsidR="00781A36">
        <w:rPr>
          <w:rFonts w:cs="Arial"/>
          <w:sz w:val="20"/>
          <w:szCs w:val="20"/>
        </w:rPr>
        <w:fldChar w:fldCharType="begin"/>
      </w:r>
      <w:r w:rsidRPr="003F5D69" w:rsidR="00781A36">
        <w:rPr>
          <w:rFonts w:cs="Arial"/>
          <w:sz w:val="20"/>
          <w:szCs w:val="20"/>
        </w:rPr>
        <w:instrText xml:space="preserve"> MERGEFIELD Coordinator \* MERGEFORMAT </w:instrText>
      </w:r>
      <w:r w:rsidRPr="003F5D69" w:rsidR="00781A36">
        <w:rPr>
          <w:rFonts w:cs="Arial"/>
          <w:sz w:val="20"/>
          <w:szCs w:val="20"/>
        </w:rPr>
        <w:fldChar w:fldCharType="separate"/>
      </w:r>
      <w:r w:rsidRPr="003F5D69" w:rsidR="00781A36">
        <w:rPr>
          <w:rFonts w:cs="Arial"/>
          <w:noProof/>
          <w:sz w:val="20"/>
          <w:szCs w:val="20"/>
        </w:rPr>
        <w:instrText>«Coordinator»</w:instrText>
      </w:r>
      <w:r w:rsidRPr="003F5D69" w:rsidR="00781A36">
        <w:rPr>
          <w:rFonts w:cs="Arial"/>
          <w:sz w:val="20"/>
          <w:szCs w:val="20"/>
        </w:rPr>
        <w:fldChar w:fldCharType="end"/>
      </w:r>
      <w:r w:rsidRPr="003F5D69" w:rsidR="00781A36">
        <w:rPr>
          <w:rFonts w:cs="Arial"/>
          <w:sz w:val="20"/>
          <w:szCs w:val="20"/>
        </w:rPr>
        <w:instrText xml:space="preserve"> at </w:instrText>
      </w:r>
      <w:r w:rsidRPr="003F5D69" w:rsidR="00781A36">
        <w:rPr>
          <w:rFonts w:cs="Arial"/>
          <w:sz w:val="20"/>
          <w:szCs w:val="20"/>
        </w:rPr>
        <w:fldChar w:fldCharType="begin"/>
      </w:r>
      <w:r w:rsidRPr="003F5D69" w:rsidR="00781A36">
        <w:rPr>
          <w:rFonts w:cs="Arial"/>
          <w:sz w:val="20"/>
          <w:szCs w:val="20"/>
        </w:rPr>
        <w:instrText xml:space="preserve"> MERGEFIELD CoordinatorEmail \* MERGEFORMAT </w:instrText>
      </w:r>
      <w:r w:rsidRPr="003F5D69" w:rsidR="00781A36">
        <w:rPr>
          <w:rFonts w:cs="Arial"/>
          <w:sz w:val="20"/>
          <w:szCs w:val="20"/>
        </w:rPr>
        <w:fldChar w:fldCharType="separate"/>
      </w:r>
      <w:r w:rsidRPr="003F5D69" w:rsidR="00781A36">
        <w:rPr>
          <w:rFonts w:cs="Arial"/>
          <w:noProof/>
          <w:sz w:val="20"/>
          <w:szCs w:val="20"/>
        </w:rPr>
        <w:instrText>«CoordinatorEmail»</w:instrText>
      </w:r>
      <w:r w:rsidRPr="003F5D69" w:rsidR="00781A36">
        <w:rPr>
          <w:rFonts w:cs="Arial"/>
          <w:sz w:val="20"/>
          <w:szCs w:val="20"/>
        </w:rPr>
        <w:fldChar w:fldCharType="end"/>
      </w:r>
      <w:r w:rsidRPr="003F5D69" w:rsidR="00781A36">
        <w:rPr>
          <w:rFonts w:cs="Arial"/>
          <w:sz w:val="20"/>
          <w:szCs w:val="20"/>
        </w:rPr>
        <w:instrText xml:space="preserve">." "" </w:instrText>
      </w:r>
      <w:r w:rsidRPr="003F5D69">
        <w:rPr>
          <w:rFonts w:cs="Arial"/>
          <w:sz w:val="20"/>
          <w:szCs w:val="20"/>
        </w:rPr>
        <w:instrText xml:space="preserve">\* MERGEFORMAT </w:instrText>
      </w:r>
      <w:r w:rsidRPr="003F5D69">
        <w:rPr>
          <w:rFonts w:cs="Arial"/>
          <w:sz w:val="20"/>
          <w:szCs w:val="20"/>
        </w:rPr>
        <w:fldChar w:fldCharType="separate"/>
      </w:r>
      <w:r w:rsidRPr="003F5D69">
        <w:rPr>
          <w:rFonts w:cs="Arial"/>
          <w:sz w:val="20"/>
          <w:szCs w:val="20"/>
        </w:rPr>
        <w:fldChar w:fldCharType="end"/>
      </w:r>
    </w:p>
    <w:sectPr w:rsidSect="00B747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B4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cid:image001.png@01D84776.B89D01C0"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2383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Beels, Hannah</cp:lastModifiedBy>
  <cp:revision>3</cp:revision>
  <dcterms:created xsi:type="dcterms:W3CDTF">2022-05-18T16:51:00Z</dcterms:created>
  <dcterms:modified xsi:type="dcterms:W3CDTF">2022-05-18T17:06:00Z</dcterms:modified>
</cp:coreProperties>
</file>