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6th Annual</w:t>
      </w:r>
      <w:r w:rsidRPr="003F5D69" w:rsidR="005220D6">
        <w:rPr>
          <w:rFonts w:cs="Arial"/>
          <w:b/>
          <w:bCs/>
          <w:sz w:val="28"/>
          <w:szCs w:val="28"/>
        </w:rPr>
        <w:t xml:space="preserve"> Henry Ford Gastroenterology and Hepatology Symposium (3/17/23)</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3/17</w:t>
      </w:r>
      <w:r w:rsidRPr="003F5D69" w:rsidR="005220D6">
        <w:rPr>
          <w:rFonts w:cs="Arial"/>
          <w:b/>
          <w:noProof/>
          <w:sz w:val="28"/>
          <w:szCs w:val="28"/>
        </w:rPr>
        <w:t>/2023 7:35:00 AM</w:t>
      </w:r>
      <w:r w:rsidRPr="003F5D69" w:rsidR="00FE207D">
        <w:rPr>
          <w:rFonts w:cs="Arial"/>
          <w:b/>
          <w:noProof/>
          <w:sz w:val="28"/>
          <w:szCs w:val="28"/>
        </w:rPr>
        <w:t xml:space="preserve"> </w:t>
      </w:r>
      <w:r w:rsidRPr="003F5D69">
        <w:rPr>
          <w:rFonts w:cs="Arial"/>
          <w:b/>
          <w:noProof/>
          <w:sz w:val="28"/>
          <w:szCs w:val="28"/>
        </w:rPr>
        <w:t xml:space="preserve">St. </w:t>
      </w:r>
      <w:r w:rsidRPr="003F5D69">
        <w:rPr>
          <w:rFonts w:cs="Arial"/>
          <w:b/>
          <w:noProof/>
          <w:sz w:val="28"/>
          <w:szCs w:val="28"/>
        </w:rPr>
        <w:t>John’s Resort</w:t>
      </w:r>
    </w:p>
    <w:p w:rsidR="00B635C4" w:rsidRPr="003F5D69" w:rsidP="006A623D">
      <w:pPr>
        <w:spacing w:line="240" w:lineRule="auto"/>
        <w:rPr>
          <w:rFonts w:cs="Arial"/>
          <w:sz w:val="24"/>
        </w:rPr>
      </w:pPr>
      <w:r>
        <w:rPr>
          <w:rtl w:val="0"/>
        </w:rPr>
        <w:t>The annual symposium will be live this year, similar to the symposium in March of 2020. Slides will be made available to registrants at the onset of the conference. There will be 4 sections and speakers will give their talks in person, followed by an interactive case and panel discussion. This will take place on March 17. On the afternoon of March 16, there will be a NON-CME fellow's hands-on-course as well, option to attend is in registration process.</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To</w:t>
      </w:r>
      <w:r w:rsidRPr="003F5D69">
        <w:rPr>
          <w:rFonts w:cs="Arial"/>
        </w:rPr>
        <w:t xml:space="preserve"> learn the latest advances in the treatment of autoimmune hepatitis and portal vein thrombosis.</w:t>
      </w:r>
    </w:p>
    <w:p w:rsidRPr="003F5D69" w:rsidP="006A623D">
      <w:pPr>
        <w:spacing w:line="240" w:lineRule="auto"/>
        <w:rPr>
          <w:rFonts w:cs="Arial"/>
        </w:rPr>
      </w:pPr>
      <w:r w:rsidRPr="003F5D69">
        <w:rPr>
          <w:rFonts w:cs="Arial"/>
        </w:rPr>
        <w:t xml:space="preserve">2 To understand frailty and sarcopenia in liver disease. </w:t>
      </w:r>
    </w:p>
    <w:p w:rsidRPr="003F5D69" w:rsidP="006A623D">
      <w:pPr>
        <w:spacing w:line="240" w:lineRule="auto"/>
        <w:rPr>
          <w:rFonts w:cs="Arial"/>
        </w:rPr>
      </w:pPr>
      <w:r w:rsidRPr="003F5D69">
        <w:rPr>
          <w:rFonts w:cs="Arial"/>
        </w:rPr>
        <w:t>3 To learn the latest updates from AASLD.</w:t>
      </w:r>
    </w:p>
    <w:p w:rsidRPr="003F5D69" w:rsidP="006A623D">
      <w:pPr>
        <w:spacing w:line="240" w:lineRule="auto"/>
        <w:rPr>
          <w:rFonts w:cs="Arial"/>
        </w:rPr>
      </w:pPr>
      <w:r w:rsidRPr="003F5D69">
        <w:rPr>
          <w:rFonts w:cs="Arial"/>
        </w:rPr>
        <w:t>4 To understand barriers in therapeutic adoption in IBD.</w:t>
      </w:r>
    </w:p>
    <w:p w:rsidRPr="003F5D69" w:rsidP="006A623D">
      <w:pPr>
        <w:spacing w:line="240" w:lineRule="auto"/>
        <w:rPr>
          <w:rFonts w:cs="Arial"/>
        </w:rPr>
      </w:pPr>
      <w:r w:rsidRPr="003F5D69">
        <w:rPr>
          <w:rFonts w:cs="Arial"/>
        </w:rPr>
        <w:t>5 To learn the role of diet and nutrition in IBD.</w:t>
      </w:r>
    </w:p>
    <w:p w:rsidRPr="003F5D69" w:rsidP="006A623D">
      <w:pPr>
        <w:spacing w:line="240" w:lineRule="auto"/>
        <w:rPr>
          <w:rFonts w:cs="Arial"/>
        </w:rPr>
      </w:pPr>
      <w:r w:rsidRPr="003F5D69">
        <w:rPr>
          <w:rFonts w:cs="Arial"/>
        </w:rPr>
        <w:t>6 To understand the latest updates in the management of perianal fistulas.</w:t>
      </w:r>
    </w:p>
    <w:p w:rsidRPr="003F5D69" w:rsidP="006A623D">
      <w:pPr>
        <w:spacing w:line="240" w:lineRule="auto"/>
        <w:rPr>
          <w:rFonts w:cs="Arial"/>
        </w:rPr>
      </w:pPr>
      <w:r w:rsidRPr="003F5D69">
        <w:rPr>
          <w:rFonts w:cs="Arial"/>
        </w:rPr>
        <w:t>7 To learn a new hypothesis for irritable bowel syndrome.</w:t>
      </w:r>
    </w:p>
    <w:p w:rsidRPr="003F5D69" w:rsidP="006A623D">
      <w:pPr>
        <w:spacing w:line="240" w:lineRule="auto"/>
        <w:rPr>
          <w:rFonts w:cs="Arial"/>
        </w:rPr>
      </w:pPr>
      <w:r w:rsidRPr="003F5D69">
        <w:rPr>
          <w:rFonts w:cs="Arial"/>
        </w:rPr>
        <w:t>8 To gain insight about the medical and surgical management of GERD.</w:t>
      </w:r>
    </w:p>
    <w:p w:rsidR="00993B4D" w:rsidRPr="003F5D69" w:rsidP="006A623D">
      <w:pPr>
        <w:spacing w:line="240" w:lineRule="auto"/>
        <w:rPr>
          <w:rFonts w:cs="Arial"/>
          <w:color w:val="000000" w:themeColor="text1"/>
          <w:sz w:val="24"/>
          <w:szCs w:val="24"/>
        </w:rPr>
      </w:pPr>
      <w:r w:rsidRPr="003F5D69">
        <w:rPr>
          <w:rFonts w:cs="Arial"/>
        </w:rPr>
        <w:t>9 To understand the role of ESD, EMR and surgical resection when approaching high-risk gastrointestinal lesions.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 xml:space="preserve">Gastroenterology, </w:t>
      </w:r>
      <w:r w:rsidRPr="003F5D69" w:rsidR="00BE6F87">
        <w:rPr>
          <w:rFonts w:cs="Arial"/>
        </w:rPr>
        <w:t>Primary Care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Eva Alsheik,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Kimberly Brown,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Bureau-gilead, intercept,salix,mallinckrodt, madrigal|Membership on Advisory Committees or Review Panels, Board Membership, etc.-Gilead, intercept,mallinckrodt,|Grant or research support-salix, eurofins - 02/03/2023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Reena Salgia,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Advisor-Eisai|Advisor-AstraZeneca|Advisor-Exelixis - 01/07/2023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Jason Schairer,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Sumit Singla,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Fee-Boston Scientific - 09/09/2022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Tobias Zuchelli,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Fee-Boston Scientific - 04/19/2022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Hamna Fahad, MD-Fellow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Muhammad Salman Faisal, MD-Fellow, Fellow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Norio Fukami, MD, AGAF, FACG, MASGE, FJGES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Fee-Boston Scientific|Consulting Fee-Creo Medical - 01/12/2023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Brian Ginnebaugh,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Stuart Gordon,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Fee-Gilead Sciences, Inc. (Relationship has ended)|Consulting Fee-CymaBay Pharmaceuticals (Relationship has ended)|Consulting Fee-GlaxoSmithKline (Relationship has ended)|Grant or research support-Gilead Sciences, Inc|Membership on Advisory Committees or Review Panels, Board Membership, etc.-National Institutes of Health|Grant or research support-CymaBay|Grant or research support-Viking Pharmaceuticals|Grant or research support-Novartis|Grant or research support-Intercept|Grant or research support-GlaxoSmithKline|Grant or research support-Mirum Pharmaceuticals |Grant or research support-Arbutus |Grant or research support-Pliant |Grant or research support-COUR|Grant or research support-Genfit|Grant or research support-AbbVie - 01/09/2023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Kevin Harris, MD-Fellow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Jessica Jou,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Nirmal Kaur,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Bureau-Abbvie - 01/06/2023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Lai, MD, MBA, NBPNS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etc.-Novo Nordisk (Relationship has ended)|Consulting Fee-Genfit|Grant or research support-Lipocine|Grant or research support-Axcella Health (Relationship has ended)|Grant or research support-Nestle Nutrition Institute - 01/25/2023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Neilanjan Nandi, MD, FACP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Advisor-Pfizer|Advisor-Bristol Myers Squibb (Relationship has ended)|Advisor-Boehringer-Ingelheim (Relationship has ended)|Advisor-Janssen (Relationship has ended) - 01/09/2023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Armani Patel, MD-Fellow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Cyrus Piraka, MD, FASGE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Bureau-US Endoscopy - 10/21/2022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Andrew Popoff,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Rupen Shah,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Fee-Cancer Study Group (Relationship has ended) - 12/22/2022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Brennan Spiegel, MD, MPH, Professor of Medicine and Public Health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support-AbbVie|Grant or research support-Amgen - 01/14/2023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Deepak Venkat,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- 05/02/2022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7.50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