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1st Annual</w:t>
      </w:r>
      <w:r w:rsidRPr="003F5D69" w:rsidR="005220D6">
        <w:rPr>
          <w:rFonts w:cs="Arial"/>
          <w:b/>
          <w:bCs/>
          <w:sz w:val="28"/>
          <w:szCs w:val="28"/>
        </w:rPr>
        <w:t xml:space="preserve"> Pituitary Symposium</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10/14</w:t>
      </w:r>
      <w:r w:rsidRPr="003F5D69" w:rsidR="005220D6">
        <w:rPr>
          <w:rFonts w:cs="Arial"/>
          <w:b/>
          <w:noProof/>
          <w:sz w:val="28"/>
          <w:szCs w:val="28"/>
        </w:rPr>
        <w:t>/2023 7:00:00 AM</w:t>
      </w:r>
      <w:r w:rsidRPr="003F5D69" w:rsidR="00FE207D">
        <w:rPr>
          <w:rFonts w:cs="Arial"/>
          <w:b/>
          <w:noProof/>
          <w:sz w:val="28"/>
          <w:szCs w:val="28"/>
        </w:rPr>
        <w:t xml:space="preserve"> </w:t>
      </w:r>
      <w:r w:rsidRPr="003F5D69">
        <w:rPr>
          <w:rFonts w:cs="Arial"/>
          <w:b/>
          <w:noProof/>
          <w:sz w:val="28"/>
          <w:szCs w:val="28"/>
        </w:rPr>
        <w:t>Other</w:t>
      </w:r>
    </w:p>
    <w:p w:rsidR="00B635C4" w:rsidRPr="003F5D69" w:rsidP="006A623D">
      <w:pPr>
        <w:spacing w:line="240" w:lineRule="auto"/>
        <w:rPr>
          <w:rFonts w:cs="Arial"/>
          <w:sz w:val="24"/>
        </w:rPr>
      </w:pPr>
      <w:r>
        <w:rPr>
          <w:rtl w:val="0"/>
        </w:rPr>
        <w:t>At the end of this activity, the learner should be able to recommend the appropriate diagnostic modalities for patients with pituitary disorders with subtle clinical findings to ensure early diagnosis and intervention by pituitary specialists, describe the appropriate treatment algorithms for patients with various types of pituitary tumors, select the appropriate medical/hormonal treatment options for pituitary disorders before and after surgery as well as in lieu of surgical intervention, and recognize the importance of accurate performance of critical diagnostic testing for post-operative hormonal and electrolyte dysfunction.</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Summarize</w:t>
      </w:r>
      <w:r w:rsidRPr="003F5D69">
        <w:rPr>
          <w:rFonts w:cs="Arial"/>
        </w:rPr>
        <w:t xml:space="preserve"> ongoing clinical trials and emerging therapies for the treatment of Cushing’s and Acromegaly.</w:t>
      </w:r>
    </w:p>
    <w:p w:rsidRPr="003F5D69" w:rsidP="006A623D">
      <w:pPr>
        <w:spacing w:line="240" w:lineRule="auto"/>
        <w:rPr>
          <w:rFonts w:cs="Arial"/>
        </w:rPr>
      </w:pPr>
      <w:r w:rsidRPr="003F5D69">
        <w:rPr>
          <w:rFonts w:cs="Arial"/>
        </w:rPr>
        <w:t xml:space="preserve">2 Discuss surgical outcomes, complications and risk management for pituitary and skull base tumors. </w:t>
      </w:r>
    </w:p>
    <w:p w:rsidRPr="003F5D69" w:rsidP="006A623D">
      <w:pPr>
        <w:spacing w:line="240" w:lineRule="auto"/>
        <w:rPr>
          <w:rFonts w:cs="Arial"/>
        </w:rPr>
      </w:pPr>
      <w:r w:rsidRPr="003F5D69">
        <w:rPr>
          <w:rFonts w:cs="Arial"/>
        </w:rPr>
        <w:t>3 Evaluate endoscopic surgery with the use of patient reported outcomes.</w:t>
      </w:r>
    </w:p>
    <w:p w:rsidRPr="003F5D69" w:rsidP="006A623D">
      <w:pPr>
        <w:spacing w:line="240" w:lineRule="auto"/>
        <w:rPr>
          <w:rFonts w:cs="Arial"/>
        </w:rPr>
      </w:pPr>
      <w:r w:rsidRPr="003F5D69">
        <w:rPr>
          <w:rFonts w:cs="Arial"/>
        </w:rPr>
        <w:t>4 Present recent data on mechanisms and biomarkers for the development of aggressive and malignant pituitary tumors.</w:t>
      </w:r>
    </w:p>
    <w:p w:rsidR="00993B4D" w:rsidRPr="003F5D69" w:rsidP="006A623D">
      <w:pPr>
        <w:spacing w:line="240" w:lineRule="auto"/>
        <w:rPr>
          <w:rFonts w:cs="Arial"/>
          <w:color w:val="000000" w:themeColor="text1"/>
          <w:sz w:val="24"/>
          <w:szCs w:val="24"/>
        </w:rPr>
      </w:pPr>
      <w:r w:rsidRPr="003F5D69">
        <w:rPr>
          <w:rFonts w:cs="Arial"/>
        </w:rPr>
        <w:t xml:space="preserve">5 Discuss integrative therapies and use of patient reported outcomes for pituitary patients. </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Family Medicine</w:t>
      </w:r>
      <w:r w:rsidRPr="003F5D69" w:rsidR="00BE6F87">
        <w:rPr>
          <w:rFonts w:cs="Arial"/>
        </w:rPr>
        <w:t>, Internal Medicine, Neurological Surgery, Endocrinology, Ent</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Adam M Robin,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Honoraria-Gamma Tile - 04/05/2023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Arti Bhan,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Poonam Bansal,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Karam Asmaro,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funds-SPIWAY LLC - 11/28/2022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Jack Rock,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Craig,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Lisa Scarpace,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Sharon Lahiri,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Shobana Athimulam,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Jacob Eide,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Amrita Ray,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Alyssa Smith,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- 03/24/2023</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6.00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