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1st Annual</w:t>
      </w:r>
      <w:r w:rsidRPr="003F5D69" w:rsidR="005220D6">
        <w:rPr>
          <w:rFonts w:cs="Arial"/>
          <w:b/>
          <w:bCs/>
          <w:sz w:val="28"/>
          <w:szCs w:val="28"/>
        </w:rPr>
        <w:t xml:space="preserve"> Henry Ford Cancer Thoracic Multidisciplinary Symposium - 2023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10/13</w:t>
      </w:r>
      <w:r w:rsidRPr="003F5D69" w:rsidR="005220D6">
        <w:rPr>
          <w:rFonts w:cs="Arial"/>
          <w:b/>
          <w:noProof/>
          <w:sz w:val="28"/>
          <w:szCs w:val="28"/>
        </w:rPr>
        <w:t>/2023 7:00:00 AM</w:t>
      </w:r>
      <w:r w:rsidRPr="003F5D69" w:rsidR="00FE207D">
        <w:rPr>
          <w:rFonts w:cs="Arial"/>
          <w:b/>
          <w:noProof/>
          <w:sz w:val="28"/>
          <w:szCs w:val="28"/>
        </w:rPr>
        <w:t xml:space="preserve"> </w:t>
      </w:r>
      <w:r w:rsidRPr="003F5D69">
        <w:rPr>
          <w:rFonts w:cs="Arial"/>
          <w:b/>
          <w:noProof/>
          <w:sz w:val="28"/>
          <w:szCs w:val="28"/>
        </w:rPr>
        <w:t>The Henry</w:t>
      </w:r>
      <w:r w:rsidRPr="003F5D69">
        <w:rPr>
          <w:rFonts w:cs="Arial"/>
          <w:b/>
          <w:noProof/>
          <w:sz w:val="28"/>
          <w:szCs w:val="28"/>
        </w:rPr>
        <w:t xml:space="preserve"> Hotel</w:t>
      </w:r>
    </w:p>
    <w:p w:rsidR="00B635C4" w:rsidRPr="003F5D69" w:rsidP="006A623D">
      <w:pPr>
        <w:spacing w:line="240" w:lineRule="auto"/>
        <w:rPr>
          <w:rFonts w:cs="Arial"/>
          <w:sz w:val="24"/>
        </w:rPr>
      </w:pPr>
      <w:r>
        <w:rPr>
          <w:rtl w:val="0"/>
        </w:rPr>
        <w:t>Thoracic symposium that provides the latest information to the management and treatment of early-stage lung cancer in a multidisciplinary format.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The</w:t>
      </w:r>
      <w:r w:rsidRPr="003F5D69">
        <w:rPr>
          <w:rFonts w:cs="Arial"/>
        </w:rPr>
        <w:t xml:space="preserve"> recent advances in the management of early-stage lung cancer.</w:t>
      </w:r>
    </w:p>
    <w:p w:rsidRPr="003F5D69" w:rsidP="006A623D">
      <w:pPr>
        <w:spacing w:line="240" w:lineRule="auto"/>
        <w:rPr>
          <w:rFonts w:cs="Arial"/>
        </w:rPr>
      </w:pPr>
      <w:r w:rsidRPr="003F5D69">
        <w:rPr>
          <w:rFonts w:cs="Arial"/>
        </w:rPr>
        <w:t>2 To apply advances in the treatment of their patients in a multidisciplinary fashion.</w:t>
      </w:r>
    </w:p>
    <w:p w:rsidRPr="003F5D69" w:rsidP="006A623D">
      <w:pPr>
        <w:spacing w:line="240" w:lineRule="auto"/>
        <w:rPr>
          <w:rFonts w:cs="Arial"/>
        </w:rPr>
      </w:pPr>
      <w:r w:rsidRPr="003F5D69">
        <w:rPr>
          <w:rFonts w:cs="Arial"/>
        </w:rPr>
        <w:t>3 The role of each specialty involved in the management of this disease.</w:t>
      </w:r>
    </w:p>
    <w:p w:rsidRPr="003F5D69" w:rsidP="006A623D">
      <w:pPr>
        <w:spacing w:line="240" w:lineRule="auto"/>
        <w:rPr>
          <w:rFonts w:cs="Arial"/>
        </w:rPr>
      </w:pPr>
      <w:r w:rsidRPr="003F5D69">
        <w:rPr>
          <w:rFonts w:cs="Arial"/>
        </w:rPr>
        <w:t>4 The role of each treatment modality used to treat this disease: surgery, bronchoscopic management, radiation, medications (immunotherapy, chemotherapy and TKIs).</w:t>
      </w:r>
    </w:p>
    <w:p w:rsidRPr="003F5D69" w:rsidP="006A623D">
      <w:pPr>
        <w:spacing w:line="240" w:lineRule="auto"/>
        <w:rPr>
          <w:rFonts w:cs="Arial"/>
        </w:rPr>
      </w:pPr>
      <w:r w:rsidRPr="003F5D69">
        <w:rPr>
          <w:rFonts w:cs="Arial"/>
        </w:rPr>
        <w:t>5 The evolving role of ctDNA in the management of this disease.</w:t>
      </w:r>
    </w:p>
    <w:p w:rsidR="00993B4D" w:rsidRPr="003F5D69" w:rsidP="006A623D">
      <w:pPr>
        <w:spacing w:line="240" w:lineRule="auto"/>
        <w:rPr>
          <w:rFonts w:cs="Arial"/>
          <w:color w:val="000000" w:themeColor="text1"/>
          <w:sz w:val="24"/>
          <w:szCs w:val="24"/>
        </w:rPr>
      </w:pPr>
      <w:r w:rsidRPr="003F5D69">
        <w:rPr>
          <w:rFonts w:cs="Arial"/>
        </w:rPr>
        <w:t>6 The recent advances in the management of small cell lung cancer.</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Movsas,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Honoraria-Varian (Relationship has ended)|Grant or research support-Varian (dept grant, I'm not PI)|Grant or research support-ViewRay (dept grant, I'm not PI)|Grant or research support-Philips (dept grant, I'm not PI) - 07/31/2023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Popoff,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Aula Ramo,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Labib Debiane,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Shirish Gadgeel,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Genentech-Roche, Pfizer, Mirati, Bristol Myers-Squibb, Takeda, Janssen, Daichii, Blueprint, Lilly, Novartis, Merck, Arcus, Esai, Gilead, GSK (Relationship has ended)|Membership on Advisory Committees or Review Panels, Board Membership, etc.-Astrazeneca - 03/21/2023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Fawzi Abu Rous,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Honoraria-MJH life sciences (Relationship has ended)|Honoraria-IntrinsiQ Specialty Solutions (Relationship has ended) - 06/13/2023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Kisha McPherson,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Tressa Cuschieri,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Khaled Adil,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Bindu R Potugari, MD, Senior Staff</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Patrick Forde,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support-Astrazeneca|Grant or research support-BMS|Grant or research support-BMS|Grant or research support-Novartis|Grant or research support-Regeneron|Grant or research support-BioNTech|Paid consultant-Ascendis|Paid consultant-Astrazeneca|Paid consultant-BMS|Paid consultant-Curevac|Paid consultant-Novartis|Paid consultant-Regeneron|Paid consultant-G1|Paid consultant-Genelux|Paid consultant-Genentech|Paid consultant-Gritstone|Paid consultant-Merck|Paid consultant-Janssen|Paid consultant-F Star|Paid consultant-Sanofi|Paid consultant-Sanofi|Paid consultant-Amgen|Paid consultant-Fosun|Paid consultant-Teva|Paid consultant-Synthekine|Paid consultant-Flame|Paid consultant-Iteos|Paid consultant-Tavotek - 08/04/2023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Hirva Mamdani,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support-Astrazeneca|Advisor-Genentech (Relationship has ended)|Membership on Advisory Committees or Review Panels, Board Membership, etc.-Astrazeneca (Relationship has ended) - 08/01/2023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Kalemkerian,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support-Merck|Grant or research support-BMS (Relationship has ended)|Grant or research support-Takeda (Relationship has ended) - 08/03/2023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6.00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