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MSHO Annual Review in Hematology (2024)</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01/13/2024 8:00 AM</w:t>
      </w:r>
      <w:r w:rsidRPr="003F5D69" w:rsidR="00FE207D">
        <w:rPr>
          <w:rFonts w:cs="Arial"/>
          <w:b/>
          <w:noProof/>
          <w:sz w:val="28"/>
          <w:szCs w:val="28"/>
        </w:rPr>
        <w:t xml:space="preserve"> </w:t>
      </w:r>
      <w:r w:rsidRPr="003F5D69">
        <w:rPr>
          <w:rFonts w:cs="Arial"/>
          <w:b/>
          <w:noProof/>
          <w:sz w:val="28"/>
          <w:szCs w:val="28"/>
        </w:rPr>
        <w:t>Marriott - Troy</w:t>
      </w:r>
    </w:p>
    <w:p w:rsidR="00B635C4" w:rsidRPr="003F5D69" w:rsidP="006A623D">
      <w:pPr>
        <w:spacing w:line="240" w:lineRule="auto"/>
        <w:rPr>
          <w:rFonts w:cs="Arial"/>
          <w:sz w:val="24"/>
        </w:rPr>
      </w:pPr>
      <w:r>
        <w:rPr>
          <w:rtl w:val="0"/>
        </w:rPr>
        <w:t>This symposium is intended to disseminate current information to the practicing hematologist and oncologists to improve the overall standard treatment of blood disorders. Participation in this event is intended for physicians, fellows, residents, advanced practice providers, nurses, and other healthcare professionals who are interested in the current state of the field.</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Apply advances in scientific and translational research in the care of their patients.</w:t>
      </w:r>
    </w:p>
    <w:p w:rsidRPr="003F5D69" w:rsidP="006A623D">
      <w:pPr>
        <w:spacing w:line="240" w:lineRule="auto"/>
        <w:rPr>
          <w:rFonts w:cs="Arial"/>
        </w:rPr>
      </w:pPr>
      <w:r w:rsidRPr="003F5D69">
        <w:rPr>
          <w:rFonts w:cs="Arial"/>
        </w:rPr>
        <w:t>2 Utilize emerging therapies to provide optimal treatment to patients.</w:t>
      </w:r>
    </w:p>
    <w:p w:rsidRPr="003F5D69" w:rsidP="006A623D">
      <w:pPr>
        <w:spacing w:line="240" w:lineRule="auto"/>
        <w:rPr>
          <w:rFonts w:cs="Arial"/>
        </w:rPr>
      </w:pPr>
      <w:r w:rsidRPr="003F5D69">
        <w:rPr>
          <w:rFonts w:cs="Arial"/>
        </w:rPr>
        <w:t>3 Implement new practices or review existing ones to improve the quality of care delivered.</w:t>
      </w:r>
    </w:p>
    <w:p w:rsidRPr="003F5D69" w:rsidP="006A623D">
      <w:pPr>
        <w:spacing w:line="240" w:lineRule="auto"/>
        <w:rPr>
          <w:rFonts w:cs="Arial"/>
        </w:rPr>
      </w:pPr>
      <w:r w:rsidRPr="003F5D69">
        <w:rPr>
          <w:rFonts w:cs="Arial"/>
        </w:rPr>
        <w:t>4 Consider areas needing additional research and/or themselves be able to find areas to research including quality initiatives or patient reported outcomes.</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Hematology / Oncology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Kuriakose,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Advisor-BMS|Advisor-Takeda (Relationship has ended)|Advisor-CSL Behring|Advisor-Incyte (Relationship has ended)|Advisor-CTI Biopharma (Relationship has ended)|Advisor-TG Therapeutics (Relationship has ended)|Advisor-Kedrion (Relationship has ended)|Advisor-Pfizer|Advisor-Seagen|Advisor-Astrazeneca - 03/23/2023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Jawad Sheqwara,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Advisor-Pfizer|Advisor-Astrazeneca|Advisor-Janssen|Advisor-Incyte|Speakers Bureau-Seagen (Relationship has ended)|Honoraria-cardinal health|Honoraria-Aptitude|Honoraria-curio sciences|Honoraria-targeted oncology - 06/13/2023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Linda S Raveau</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Mary K Makarewicz</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Jay Yang,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support-Seagen|Grant or research support-Agios|Grant or research support-Novartis|Grant or research support-PureTech Health - 11/02/2023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Jeffrey Zonder,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Fee-Janssen|Consulting Fee-Regeneron|Consulting Fee-Takeda (Relationship has ended)|Consulting Fee-Telios (Relationship has ended)|Consulting Fee-Prothena|Consulting Fee-Intellia|Consulting Fee-Sanofi|Grant or research support-BMS - 11/16/2023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Denise Brooks,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- 06/28/2023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Kisha McPherson, MHSA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 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Asif Alavi,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etc.-Vertex (Relationship has ended) - 09/27/2023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Kristen Pettit,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etc.-AbbVie (Relationship has ended)|Membership on Advisory Committees or Review Panels, Board Membership, etc.-Protagonist (Relationship has ended)|Membership on Advisory Committees or Review Panels, Board Membership, etc.-PharmaEssentia (Relationship has ended)|Membership on Advisory Committees or Review Panels, Board Membership, etc.-Sobi (Relationship has ended)|Membership on Advisory Committees or Review Panels, Board Membership, etc.-GSK (Relationship has ended) - 11/07/2023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Dale Bixby,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- 10/30/2023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Dipenkumar Modi,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etc.-MorphoSys (Relationship has ended)|Membership on Advisory Committees or Review Panels, Board Membership, etc.-Seagen (Relationship has ended)|Membership on Advisory Committees or Review Panels, Board Membership, etc.-ADC Therapeutics (Relationship has ended)|Membership on Advisory Committees or Review Panels, Board Membership, etc.-Genmab (Relationship has ended)|Honoraria-Astrazeneca (Relationship has ended)|Speakers Bureau-Beigene (Relationship has ended)|Independent Contractor (included contracted research)-Genentech|Independent Contractor (included contracted research)-Karyopharm|Independent Contractor (included contracted research)-ADC Therapeutics (Relationship has ended)|Independent Contractor (included contracted research)-Genmab - 11/05/2023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Yasmin H Karimi,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Fee-ADC therapeutics|Honoraria-RMEI education (Relationship has ended) - 10/31/2023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Uberti,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Asra Ahmed,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Suman Sood,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- 11/10/2023</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CC477A" w:rsidRPr="003F5D69" w:rsidP="00CC477A">
      <w:pPr>
        <w:spacing w:line="240" w:lineRule="auto"/>
        <w:rPr>
          <w:rFonts w:cs="Arial"/>
          <w:sz w:val="20"/>
          <w:szCs w:val="20"/>
        </w:rPr>
      </w:pPr>
      <w:r w:rsidRPr="003F5D69">
        <w:rPr>
          <w:rFonts w:cs="Arial"/>
          <w:b/>
          <w:bCs/>
          <w:sz w:val="20"/>
          <w:szCs w:val="20"/>
        </w:rPr>
        <w:t xml:space="preserve">ACCREDITATION STATEMENT: </w:t>
      </w:r>
      <w:r w:rsidRPr="003F5D69" w:rsidR="00053C8D">
        <w:rPr>
          <w:rFonts w:cs="Arial"/>
          <w:b/>
          <w:bCs/>
          <w:sz w:val="20"/>
          <w:szCs w:val="20"/>
        </w:rPr>
        <w:t>Henry Ford Health System</w:t>
      </w:r>
      <w:r w:rsidRPr="003F5D69">
        <w:rPr>
          <w:rFonts w:cs="Arial"/>
          <w:sz w:val="20"/>
          <w:szCs w:val="20"/>
        </w:rPr>
        <w:t xml:space="preserve"> is accredited by the Accreditation Council for Continuing Medical Education (ACCME) to provide continuing medical education for physicians.</w:t>
      </w:r>
    </w:p>
    <w:p w:rsidR="00A76840" w:rsidRPr="00A76840"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3F5D69" w:rsidR="00903F8E">
        <w:rPr>
          <w:rFonts w:cs="Arial"/>
          <w:b/>
          <w:bCs/>
          <w:sz w:val="20"/>
          <w:szCs w:val="20"/>
        </w:rPr>
        <w:t>Henry Ford Health System</w:t>
      </w:r>
      <w:r w:rsidRPr="003F5D69" w:rsidR="00CC477A">
        <w:rPr>
          <w:rFonts w:cs="Arial"/>
          <w:sz w:val="20"/>
          <w:szCs w:val="20"/>
        </w:rPr>
        <w:t xml:space="preserve"> </w:t>
      </w:r>
      <w:r w:rsidRPr="003F5D69" w:rsidR="00993B4D">
        <w:rPr>
          <w:rFonts w:cs="Arial"/>
          <w:sz w:val="20"/>
          <w:szCs w:val="20"/>
        </w:rPr>
        <w:t xml:space="preserve">designates this educational activity for a maximum of </w:t>
      </w:r>
      <w:r w:rsidRPr="003F5D69" w:rsidR="00433F1C">
        <w:rPr>
          <w:rFonts w:cs="Arial"/>
          <w:sz w:val="20"/>
          <w:szCs w:val="20"/>
        </w:rPr>
        <w:t>6.00</w:t>
      </w:r>
      <w:r w:rsidRPr="003F5D69" w:rsidR="00993B4D">
        <w:rPr>
          <w:rFonts w:cs="Arial"/>
          <w:sz w:val="20"/>
          <w:szCs w:val="20"/>
        </w:rPr>
        <w:t xml:space="preserve"> AMA PRA Category 1 Credit</w:t>
      </w:r>
      <w:r w:rsidRPr="003F5D69" w:rsidR="00877E7B">
        <w:rPr>
          <w:rFonts w:cs="Arial"/>
          <w:sz w:val="20"/>
          <w:szCs w:val="20"/>
        </w:rPr>
        <w:t>(s)</w:t>
      </w:r>
      <w:r w:rsidRPr="003F5D69" w:rsidR="00053C8D">
        <w:rPr>
          <w:rFonts w:cs="Arial"/>
          <w:sz w:val="20"/>
          <w:szCs w:val="20"/>
        </w:rPr>
        <w:t>™</w:t>
      </w:r>
      <w:r w:rsidRPr="003F5D69" w:rsidR="00993B4D">
        <w:rPr>
          <w:rFonts w:cs="Arial"/>
          <w:sz w:val="20"/>
          <w:szCs w:val="20"/>
        </w:rPr>
        <w:t>. Physicians should only claim credit commensurate with the extent of their participation in the activity.</w:t>
      </w:r>
      <w:r w:rsidRPr="00A76840">
        <w:rPr>
          <w:rFonts w:cs="Arial"/>
          <w:b/>
          <w:bCs/>
          <w:sz w:val="20"/>
          <w:szCs w:val="20"/>
        </w:rPr>
        <w:t xml:space="preserve"> </w:t>
      </w:r>
      <w:r w:rsidRPr="00A76840">
        <w:rPr>
          <w:rFonts w:cs="Arial"/>
          <w:b/>
          <w:bCs/>
          <w:sz w:val="20"/>
          <w:szCs w:val="20"/>
        </w:rPr>
        <w:fldChar w:fldCharType="begin"/>
      </w:r>
      <w:r w:rsidRPr="00A76840">
        <w:rPr>
          <w:rFonts w:cs="Arial"/>
          <w:b/>
          <w:bCs/>
          <w:sz w:val="20"/>
          <w:szCs w:val="20"/>
        </w:rPr>
        <w:instrText xml:space="preserve"> IF </w:instrText>
      </w:r>
      <w:r w:rsidRPr="00A76840">
        <w:rPr>
          <w:rFonts w:cs="Arial"/>
          <w:b/>
          <w:bCs/>
          <w:sz w:val="20"/>
          <w:szCs w:val="20"/>
        </w:rPr>
        <w:instrText>0.00</w:instrText>
      </w:r>
      <w:r w:rsidRPr="00A76840">
        <w:rPr>
          <w:rFonts w:cs="Arial"/>
          <w:b/>
          <w:bCs/>
          <w:sz w:val="20"/>
          <w:szCs w:val="20"/>
        </w:rPr>
        <w:instrText xml:space="preserve"> &gt; 0 "</w:instrText>
      </w:r>
    </w:p>
    <w:p w:rsidR="00A76840" w:rsidRPr="00A76840" w:rsidP="00A76840">
      <w:pPr>
        <w:spacing w:line="240" w:lineRule="auto"/>
        <w:rPr>
          <w:rFonts w:cs="Arial"/>
          <w:b/>
          <w:bCs/>
          <w:sz w:val="20"/>
          <w:szCs w:val="20"/>
        </w:rPr>
      </w:pPr>
      <w:r w:rsidRPr="00A76840">
        <w:rPr>
          <w:rFonts w:cs="Arial"/>
          <w:b/>
          <w:bCs/>
          <w:sz w:val="20"/>
          <w:szCs w:val="20"/>
        </w:rPr>
        <w:instrText xml:space="preserve">ABIM MOC Part 2: </w:instrText>
      </w:r>
      <w:r w:rsidRPr="00A76840">
        <w:rPr>
          <w:rFonts w:cs="Arial"/>
          <w:sz w:val="20"/>
          <w:szCs w:val="20"/>
        </w:rPr>
        <w:instrText xml:space="preserve">Successful completion of this CME activity, which includes participation in the evaluation component, enables the participant to earn up to </w:instrText>
      </w:r>
      <w:r w:rsidRPr="00A76840">
        <w:rPr>
          <w:rFonts w:cs="Arial"/>
          <w:b/>
          <w:bCs/>
          <w:sz w:val="20"/>
          <w:szCs w:val="20"/>
        </w:rPr>
        <w:fldChar w:fldCharType="begin"/>
      </w:r>
      <w:r w:rsidRPr="00A76840">
        <w:rPr>
          <w:rFonts w:cs="Arial"/>
          <w:b/>
          <w:bCs/>
          <w:sz w:val="20"/>
          <w:szCs w:val="20"/>
        </w:rPr>
        <w:instrText xml:space="preserve"> MERGEFIELD ABIMMOC2Max \# 0.00# </w:instrText>
      </w:r>
      <w:r w:rsidRPr="00A76840">
        <w:rPr>
          <w:rFonts w:cs="Arial"/>
          <w:sz w:val="20"/>
          <w:szCs w:val="20"/>
        </w:rPr>
        <w:fldChar w:fldCharType="separate"/>
      </w:r>
      <w:r w:rsidRPr="00A76840">
        <w:rPr>
          <w:rFonts w:cs="Arial"/>
          <w:sz w:val="20"/>
          <w:szCs w:val="20"/>
        </w:rPr>
        <w:fldChar w:fldCharType="end"/>
      </w:r>
      <w:r w:rsidRPr="00A76840">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A76840">
        <w:rPr>
          <w:rFonts w:cs="Arial"/>
          <w:b/>
          <w:bCs/>
          <w:sz w:val="20"/>
          <w:szCs w:val="20"/>
        </w:rPr>
        <w:instrText xml:space="preserve">" "" </w:instrText>
      </w:r>
      <w:r w:rsidRPr="00A76840">
        <w:rPr>
          <w:rFonts w:cs="Arial"/>
          <w:sz w:val="20"/>
          <w:szCs w:val="20"/>
        </w:rPr>
        <w:fldChar w:fldCharType="separate"/>
      </w:r>
      <w:r w:rsidRPr="00A76840">
        <w:rPr>
          <w:rFonts w:cs="Arial"/>
          <w:sz w:val="20"/>
          <w:szCs w:val="20"/>
        </w:rPr>
        <w:fldChar w:fldCharType="end"/>
      </w:r>
      <w:r w:rsidRPr="00A76840">
        <w:rPr>
          <w:rFonts w:cs="Arial"/>
          <w:b/>
          <w:bCs/>
          <w:sz w:val="20"/>
          <w:szCs w:val="20"/>
        </w:rPr>
        <w:fldChar w:fldCharType="begin"/>
      </w:r>
      <w:r w:rsidRPr="00A76840">
        <w:rPr>
          <w:rFonts w:cs="Arial"/>
          <w:b/>
          <w:bCs/>
          <w:sz w:val="20"/>
          <w:szCs w:val="20"/>
        </w:rPr>
        <w:instrText xml:space="preserve"> IF </w:instrText>
      </w:r>
      <w:r w:rsidRPr="00A76840">
        <w:rPr>
          <w:rFonts w:cs="Arial"/>
          <w:b/>
          <w:bCs/>
          <w:sz w:val="20"/>
          <w:szCs w:val="20"/>
        </w:rPr>
        <w:instrText>0.00</w:instrText>
      </w:r>
      <w:r w:rsidRPr="00A76840">
        <w:rPr>
          <w:rFonts w:cs="Arial"/>
          <w:b/>
          <w:bCs/>
          <w:sz w:val="20"/>
          <w:szCs w:val="20"/>
        </w:rPr>
        <w:instrText xml:space="preserve"> &gt; </w:instrText>
      </w:r>
      <w:r w:rsidR="00210D87">
        <w:rPr>
          <w:rFonts w:cs="Arial"/>
          <w:b/>
          <w:bCs/>
          <w:sz w:val="20"/>
          <w:szCs w:val="20"/>
        </w:rPr>
        <w:instrText>0</w:instrText>
      </w:r>
      <w:r w:rsidRPr="00A76840">
        <w:rPr>
          <w:rFonts w:cs="Arial"/>
          <w:b/>
          <w:bCs/>
          <w:sz w:val="20"/>
          <w:szCs w:val="20"/>
        </w:rPr>
        <w:instrText xml:space="preserve"> "</w:instrText>
      </w:r>
    </w:p>
    <w:p w:rsidR="00993B4D" w:rsidRPr="003F5D69" w:rsidP="00A76840">
      <w:pPr>
        <w:spacing w:line="240" w:lineRule="auto"/>
        <w:rPr>
          <w:rFonts w:cs="Arial"/>
          <w:sz w:val="20"/>
          <w:szCs w:val="20"/>
        </w:rPr>
      </w:pPr>
      <w:r w:rsidRPr="00A76840">
        <w:rPr>
          <w:rFonts w:cs="Arial"/>
          <w:b/>
          <w:bCs/>
          <w:sz w:val="20"/>
          <w:szCs w:val="20"/>
        </w:rPr>
        <w:instrText xml:space="preserve">ABS CC: </w:instrText>
      </w:r>
      <w:r w:rsidRPr="00A76840">
        <w:rPr>
          <w:rFonts w:cs="Arial"/>
          <w:sz w:val="20"/>
          <w:szCs w:val="20"/>
        </w:rPr>
        <w:instrText>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A76840">
        <w:rPr>
          <w:rFonts w:cs="Arial"/>
          <w:b/>
          <w:bCs/>
          <w:sz w:val="20"/>
          <w:szCs w:val="20"/>
        </w:rPr>
        <w:instrText xml:space="preserve">" "" </w:instrText>
      </w:r>
      <w:r w:rsidRPr="00A76840">
        <w:rPr>
          <w:rFonts w:cs="Arial"/>
          <w:sz w:val="20"/>
          <w:szCs w:val="20"/>
        </w:rPr>
        <w:fldChar w:fldCharType="separate"/>
      </w:r>
      <w:r w:rsidRPr="00A76840">
        <w:rPr>
          <w:rFonts w:cs="Arial"/>
          <w:sz w:val="20"/>
          <w:szCs w:val="20"/>
        </w:rPr>
        <w:fldChar w:fldCharType="end"/>
      </w:r>
    </w:p>
    <w:p w:rsidR="003E5D6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In Compliance with the ACCME Standards for Commercial Support, all individuals in a position to control/influence the content of this activity are required to disclose relevant financial interests of their own or spouse or partners with any ACCME defined commercial interests for the past </w:t>
      </w:r>
      <w:r w:rsidRPr="003F5D69" w:rsidR="007D5D04">
        <w:rPr>
          <w:rFonts w:cs="Arial"/>
          <w:sz w:val="20"/>
          <w:szCs w:val="20"/>
        </w:rPr>
        <w:t>24</w:t>
      </w:r>
      <w:r w:rsidRPr="003F5D69">
        <w:rPr>
          <w:rFonts w:cs="Arial"/>
          <w:sz w:val="20"/>
          <w:szCs w:val="20"/>
        </w:rPr>
        <w:t xml:space="preserve"> months and/or any non-FDA approved use of a drug or a device that is included in the presentation.</w:t>
      </w:r>
      <w:r w:rsidRPr="003F5D69" w:rsidR="007D5D04">
        <w:rPr>
          <w:rFonts w:cs="Arial"/>
          <w:sz w:val="20"/>
          <w:szCs w:val="20"/>
        </w:rPr>
        <w:t xml:space="preserve"> All relevant financial relationships have been mitigated. </w:t>
      </w:r>
    </w:p>
    <w:p w:rsidR="00802EA0" w:rsidRPr="00802EA0"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3F5D69" w:rsidR="00B740AA">
        <w:rPr>
          <w:rFonts w:cs="Arial"/>
          <w:sz w:val="20"/>
          <w:szCs w:val="20"/>
        </w:rPr>
        <w:t>Henry Ford Health System Office of Continu</w:t>
      </w:r>
      <w:r w:rsidRPr="003F5D69" w:rsidR="00F42D99">
        <w:rPr>
          <w:rFonts w:cs="Arial"/>
          <w:sz w:val="20"/>
          <w:szCs w:val="20"/>
        </w:rPr>
        <w:t xml:space="preserve">ing Medical Education is committed to ensuring that its programs, services, </w:t>
      </w:r>
      <w:r w:rsidRPr="003F5D69" w:rsidR="00F42D99">
        <w:rPr>
          <w:rFonts w:cs="Arial"/>
          <w:sz w:val="20"/>
          <w:szCs w:val="20"/>
        </w:rPr>
        <w:t>goods</w:t>
      </w:r>
      <w:r w:rsidRPr="003F5D69" w:rsidR="00F42D99">
        <w:rPr>
          <w:rFonts w:cs="Arial"/>
          <w:sz w:val="20"/>
          <w:szCs w:val="20"/>
        </w:rPr>
        <w:t xml:space="preserve"> and facilities are accessible to individuals with disabilities as specified under Section 504 of the Rehabilitation Act of 1973 and the Americans with Disabilities Amendments Act of 2008. If you have needs that require special accommodations, including dietary concerns, please contact the CME Conference Coordinator.</w:t>
      </w:r>
    </w:p>
    <w:p w:rsidR="00993B4D" w:rsidRPr="003F5D69" w:rsidP="006A623D">
      <w:pPr>
        <w:spacing w:line="240" w:lineRule="auto"/>
        <w:rPr>
          <w:rFonts w:cs="Arial"/>
          <w:sz w:val="20"/>
          <w:szCs w:val="20"/>
        </w:rPr>
      </w:pPr>
      <w:r w:rsidRPr="003F5D69">
        <w:rPr>
          <w:rFonts w:cs="Arial"/>
          <w:sz w:val="20"/>
          <w:szCs w:val="20"/>
        </w:rPr>
        <w:fldChar w:fldCharType="begin"/>
      </w:r>
      <w:r w:rsidRPr="003F5D69">
        <w:rPr>
          <w:rFonts w:cs="Arial"/>
          <w:sz w:val="20"/>
          <w:szCs w:val="20"/>
        </w:rPr>
        <w:instrText xml:space="preserve"> IF  </w:instrText>
      </w:r>
      <w:r w:rsidRPr="003F5D69" w:rsidR="00781A36">
        <w:rPr>
          <w:rFonts w:cs="Arial"/>
          <w:sz w:val="20"/>
          <w:szCs w:val="20"/>
        </w:rPr>
        <w:instrText>"</w:instrText>
      </w:r>
      <w:r w:rsidRPr="003F5D69" w:rsidR="00781A36">
        <w:rPr>
          <w:rFonts w:cs="Arial"/>
          <w:sz w:val="20"/>
          <w:szCs w:val="20"/>
        </w:rPr>
        <w:instrText>"</w:instrText>
      </w:r>
      <w:r w:rsidRPr="003F5D69" w:rsidR="00781A36">
        <w:rPr>
          <w:rFonts w:cs="Arial"/>
          <w:sz w:val="20"/>
          <w:szCs w:val="20"/>
        </w:rPr>
        <w:instrText xml:space="preserve"> &lt;&gt; "" "If you have questions, please email </w:instrText>
      </w:r>
      <w:r w:rsidRPr="003F5D69" w:rsidR="00781A36">
        <w:rPr>
          <w:rFonts w:cs="Arial"/>
          <w:sz w:val="20"/>
          <w:szCs w:val="20"/>
        </w:rPr>
        <w:fldChar w:fldCharType="begin"/>
      </w:r>
      <w:r w:rsidRPr="003F5D69" w:rsidR="00781A36">
        <w:rPr>
          <w:rFonts w:cs="Arial"/>
          <w:sz w:val="20"/>
          <w:szCs w:val="20"/>
        </w:rPr>
        <w:instrText xml:space="preserve"> MERGEFIELD Coordinator </w:instrText>
      </w:r>
      <w:r w:rsidRPr="003F5D69" w:rsidR="00781A36">
        <w:rPr>
          <w:rFonts w:cs="Arial"/>
          <w:sz w:val="20"/>
          <w:szCs w:val="20"/>
        </w:rPr>
        <w:fldChar w:fldCharType="separate"/>
      </w:r>
      <w:r w:rsidR="00210D87">
        <w:rPr>
          <w:rFonts w:cs="Arial"/>
          <w:noProof/>
          <w:sz w:val="20"/>
          <w:szCs w:val="20"/>
        </w:rPr>
        <w:instrText>«Coordinator»</w:instrText>
      </w:r>
      <w:r w:rsidRPr="003F5D69" w:rsidR="00781A36">
        <w:rPr>
          <w:rFonts w:cs="Arial"/>
          <w:sz w:val="20"/>
          <w:szCs w:val="20"/>
        </w:rPr>
        <w:fldChar w:fldCharType="end"/>
      </w:r>
      <w:r w:rsidRPr="003F5D69" w:rsidR="00781A36">
        <w:rPr>
          <w:rFonts w:cs="Arial"/>
          <w:sz w:val="20"/>
          <w:szCs w:val="20"/>
        </w:rPr>
        <w:instrText xml:space="preserve"> at </w:instrText>
      </w:r>
      <w:r w:rsidRPr="003F5D69" w:rsidR="00781A36">
        <w:rPr>
          <w:rFonts w:cs="Arial"/>
          <w:sz w:val="20"/>
          <w:szCs w:val="20"/>
        </w:rPr>
        <w:fldChar w:fldCharType="begin"/>
      </w:r>
      <w:r w:rsidRPr="003F5D69" w:rsidR="00781A36">
        <w:rPr>
          <w:rFonts w:cs="Arial"/>
          <w:sz w:val="20"/>
          <w:szCs w:val="20"/>
        </w:rPr>
        <w:instrText xml:space="preserve"> MERGEFIELD CoordinatorEmail </w:instrText>
      </w:r>
      <w:r w:rsidRPr="003F5D69" w:rsidR="00781A36">
        <w:rPr>
          <w:rFonts w:cs="Arial"/>
          <w:sz w:val="20"/>
          <w:szCs w:val="20"/>
        </w:rPr>
        <w:fldChar w:fldCharType="separate"/>
      </w:r>
      <w:r w:rsidR="00210D87">
        <w:rPr>
          <w:rFonts w:cs="Arial"/>
          <w:noProof/>
          <w:sz w:val="20"/>
          <w:szCs w:val="20"/>
        </w:rPr>
        <w:instrText>«CoordinatorEmail»</w:instrText>
      </w:r>
      <w:r w:rsidRPr="003F5D69" w:rsidR="00781A36">
        <w:rPr>
          <w:rFonts w:cs="Arial"/>
          <w:sz w:val="20"/>
          <w:szCs w:val="20"/>
        </w:rPr>
        <w:fldChar w:fldCharType="end"/>
      </w:r>
      <w:r w:rsidRPr="003F5D69" w:rsidR="00781A36">
        <w:rPr>
          <w:rFonts w:cs="Arial"/>
          <w:sz w:val="20"/>
          <w:szCs w:val="20"/>
        </w:rPr>
        <w:instrText>." ""</w:instrText>
      </w:r>
      <w:r w:rsidRPr="003F5D69">
        <w:rPr>
          <w:rFonts w:cs="Arial"/>
          <w:sz w:val="20"/>
          <w:szCs w:val="20"/>
        </w:rPr>
        <w:fldChar w:fldCharType="separate"/>
      </w:r>
      <w:r w:rsidRPr="003F5D69">
        <w:rPr>
          <w:rFonts w:cs="Arial"/>
          <w:sz w:val="20"/>
          <w:szCs w:val="20"/>
        </w:rPr>
        <w:fldChar w:fldCharType="end"/>
      </w:r>
    </w:p>
    <w:sectPr w:rsidSect="00A508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Square, Tyrone</cp:lastModifiedBy>
  <cp:revision>8</cp:revision>
  <dcterms:created xsi:type="dcterms:W3CDTF">2022-05-18T16:51:00Z</dcterms:created>
  <dcterms:modified xsi:type="dcterms:W3CDTF">2024-01-12T15:20:00Z</dcterms:modified>
</cp:coreProperties>
</file>