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7th Annual Gastroenterology and Hepatology Symposium (3/8/24)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03/08/2024 6:45 AM</w:t>
      </w:r>
      <w:r w:rsidRPr="003F5D69" w:rsidR="00FE207D">
        <w:rPr>
          <w:rFonts w:cs="Arial"/>
          <w:b/>
          <w:noProof/>
          <w:sz w:val="28"/>
          <w:szCs w:val="28"/>
        </w:rPr>
        <w:t xml:space="preserve"> </w:t>
      </w:r>
      <w:r w:rsidRPr="003F5D69">
        <w:rPr>
          <w:rFonts w:cs="Arial"/>
          <w:b/>
          <w:noProof/>
          <w:sz w:val="28"/>
          <w:szCs w:val="28"/>
        </w:rPr>
        <w:t>St. John’s Resort</w:t>
      </w:r>
    </w:p>
    <w:p w:rsidR="00B635C4" w:rsidRPr="003F5D69" w:rsidP="006A623D">
      <w:pPr>
        <w:spacing w:line="240" w:lineRule="auto"/>
        <w:rPr>
          <w:rFonts w:cs="Arial"/>
          <w:sz w:val="24"/>
        </w:rPr>
      </w:pPr>
      <w:r>
        <w:rPr>
          <w:rtl w:val="0"/>
        </w:rPr>
        <w:t>The annual symposium will be live this year, similar to the symposium in March of 2023. Slides will be made available to registrants at the onset of the conference. There will be 4 sections and speakers will give their talks in person, followed by an interactive case and panel discussion.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learn the latest approach to constipation and pelvic floor dysfunction.</w:t>
      </w:r>
    </w:p>
    <w:p w:rsidRPr="003F5D69" w:rsidP="006A623D">
      <w:pPr>
        <w:spacing w:line="240" w:lineRule="auto"/>
        <w:rPr>
          <w:rFonts w:cs="Arial"/>
        </w:rPr>
      </w:pPr>
      <w:r w:rsidRPr="003F5D69">
        <w:rPr>
          <w:rFonts w:cs="Arial"/>
        </w:rPr>
        <w:t>2 understand updates in NASH.</w:t>
      </w:r>
    </w:p>
    <w:p w:rsidRPr="003F5D69" w:rsidP="006A623D">
      <w:pPr>
        <w:spacing w:line="240" w:lineRule="auto"/>
        <w:rPr>
          <w:rFonts w:cs="Arial"/>
        </w:rPr>
      </w:pPr>
      <w:r w:rsidRPr="003F5D69">
        <w:rPr>
          <w:rFonts w:cs="Arial"/>
        </w:rPr>
        <w:t>3 learn the latest updates regarding GERD and the Lyon Consensus 2.0.</w:t>
      </w:r>
    </w:p>
    <w:p w:rsidRPr="003F5D69" w:rsidP="006A623D">
      <w:pPr>
        <w:spacing w:line="240" w:lineRule="auto"/>
        <w:rPr>
          <w:rFonts w:cs="Arial"/>
        </w:rPr>
      </w:pPr>
      <w:r w:rsidRPr="003F5D69">
        <w:rPr>
          <w:rFonts w:cs="Arial"/>
        </w:rPr>
        <w:t xml:space="preserve">4 gain insight about assessment and management of IBD strictures. </w:t>
      </w:r>
    </w:p>
    <w:p w:rsidRPr="003F5D69" w:rsidP="006A623D">
      <w:pPr>
        <w:spacing w:line="240" w:lineRule="auto"/>
        <w:rPr>
          <w:rFonts w:cs="Arial"/>
        </w:rPr>
      </w:pPr>
      <w:r w:rsidRPr="003F5D69">
        <w:rPr>
          <w:rFonts w:cs="Arial"/>
        </w:rPr>
        <w:t xml:space="preserve">5 understand the role Interventional IBD. </w:t>
      </w:r>
    </w:p>
    <w:p w:rsidRPr="003F5D69" w:rsidP="006A623D">
      <w:pPr>
        <w:spacing w:line="240" w:lineRule="auto"/>
        <w:rPr>
          <w:rFonts w:cs="Arial"/>
        </w:rPr>
      </w:pPr>
      <w:r w:rsidRPr="003F5D69">
        <w:rPr>
          <w:rFonts w:cs="Arial"/>
        </w:rPr>
        <w:t>6 understand challenges in ERCP.</w:t>
      </w:r>
    </w:p>
    <w:p w:rsidRPr="003F5D69" w:rsidP="006A623D">
      <w:pPr>
        <w:spacing w:line="240" w:lineRule="auto"/>
        <w:rPr>
          <w:rFonts w:cs="Arial"/>
        </w:rPr>
      </w:pPr>
      <w:r w:rsidRPr="003F5D69">
        <w:rPr>
          <w:rFonts w:cs="Arial"/>
        </w:rPr>
        <w:t>7 understand dysbiosis and its role in IBD.</w:t>
      </w:r>
    </w:p>
    <w:p w:rsidRPr="003F5D69" w:rsidP="006A623D">
      <w:pPr>
        <w:spacing w:line="240" w:lineRule="auto"/>
        <w:rPr>
          <w:rFonts w:cs="Arial"/>
        </w:rPr>
      </w:pPr>
      <w:r w:rsidRPr="003F5D69">
        <w:rPr>
          <w:rFonts w:cs="Arial"/>
        </w:rPr>
        <w:t>8 understand applications for endohepatology.</w:t>
      </w:r>
    </w:p>
    <w:p w:rsidRPr="003F5D69" w:rsidP="006A623D">
      <w:pPr>
        <w:spacing w:line="240" w:lineRule="auto"/>
        <w:rPr>
          <w:rFonts w:cs="Arial"/>
        </w:rPr>
      </w:pPr>
      <w:r w:rsidRPr="003F5D69">
        <w:rPr>
          <w:rFonts w:cs="Arial"/>
        </w:rPr>
        <w:t>9 understand about EUS guided drainage.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Gastroenterology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Singla,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Schairer,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Reena Salgia,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(Relationship has ended)|Advisor-Exelixis (Relationship has ended)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Cyrus Piraka, MD, FASGE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Jou,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Tobias Zuchelli,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Eva Alsheik,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Watson,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Humberto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research)-Gilead|Independent Contractor (included contracted research)-Astrazeneca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Allyce Caines,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Tracey Torosian,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Bureau-gilead, intercept,salix,mallinckrodt, madrigal|Membership on Advisory Committees or Review Panels, Board Membership, etc.-Gilead, intercept,mallinckrodt, alexion, madrigal|Grant or research support-salix, eurofins (Relationship has ended) - 01/08/2024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Mazen Elatrache,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Ginnebaugh,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Yasmine Hussein Agha,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Harris,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Poornima Oruganti,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Muhammad Salman Faisal, MD-Fellow, 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Najwa El-Nachef,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Advisor-Ferring Pharmaceuticals (Relationship has ended)|Consulting Fee-Federation Bio (Relationship has ended)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Gursimran S Kochhar, MD, Division Chief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Lilly|Advisor-GIE Medical |Advisor-CorVetas Research foundation|Speakers Bureau-Eli Lilly|Consulting Fee-Pentax Endoscopy|Consulting Fee-Olympus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Asyia Ahmad,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Law,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Scientific|Consulting Fee-ConMed (Relationship has ended)|Grant or research support-Olympus|Royalties or Patent Beneficiary-UpToDate|Grant or research support-Boston Scientific|Grant or research support-WL Gore - 01/01/2024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Zobair Younossi,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Fee-Intercept - 01/22/2024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Pr="00DC74F2" w:rsidR="00A3199A">
        <w:rPr>
          <w:rFonts w:cs="Arial"/>
          <w:noProof/>
          <w:sz w:val="20"/>
          <w:szCs w:val="20"/>
        </w:rPr>
        <w:t>7.75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7.75</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7.75</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7.75</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B5309">
        <w:rPr>
          <w:rFonts w:cs="Segoe UI"/>
          <w:color w:val="000000"/>
          <w:sz w:val="20"/>
          <w:szCs w:val="20"/>
          <w:shd w:val="clear" w:color="auto" w:fill="FFFFFF"/>
        </w:rPr>
        <w:t xml:space="preserve"> at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Coordinator </w:instrText>
      </w:r>
      <w:r w:rsidRPr="0028578E">
        <w:rPr>
          <w:rFonts w:cs="Arial"/>
          <w:sz w:val="20"/>
          <w:szCs w:val="20"/>
        </w:rPr>
        <w:fldChar w:fldCharType="separate"/>
      </w:r>
      <w:r w:rsidRPr="0028578E">
        <w:rPr>
          <w:rFonts w:cs="Arial"/>
          <w:noProof/>
          <w:sz w:val="20"/>
          <w:szCs w:val="20"/>
        </w:rPr>
        <w:instrText>«Coordinator»</w:instrText>
      </w:r>
      <w:r w:rsidRPr="0028578E">
        <w:rPr>
          <w:rFonts w:cs="Arial"/>
          <w:sz w:val="20"/>
          <w:szCs w:val="20"/>
        </w:rPr>
        <w:fldChar w:fldCharType="end"/>
      </w:r>
      <w:r w:rsidRPr="0028578E">
        <w:rPr>
          <w:rFonts w:cs="Arial"/>
          <w:sz w:val="20"/>
          <w:szCs w:val="20"/>
        </w:rPr>
        <w:instrText xml:space="preserve"> at </w:instrText>
      </w:r>
      <w:r w:rsidRPr="0028578E">
        <w:rPr>
          <w:rFonts w:cs="Arial"/>
          <w:sz w:val="20"/>
          <w:szCs w:val="20"/>
        </w:rPr>
        <w:fldChar w:fldCharType="begin"/>
      </w:r>
      <w:r w:rsidRPr="0028578E">
        <w:rPr>
          <w:rFonts w:cs="Arial"/>
          <w:sz w:val="20"/>
          <w:szCs w:val="20"/>
        </w:rPr>
        <w:instrText xml:space="preserve"> MERGEFIELD CoordinatorEmail </w:instrText>
      </w:r>
      <w:r w:rsidRPr="0028578E">
        <w:rPr>
          <w:rFonts w:cs="Arial"/>
          <w:sz w:val="20"/>
          <w:szCs w:val="20"/>
        </w:rPr>
        <w:fldChar w:fldCharType="separate"/>
      </w:r>
      <w:r w:rsidRPr="0028578E">
        <w:rPr>
          <w:rFonts w:cs="Arial"/>
          <w:noProof/>
          <w:sz w:val="20"/>
          <w:szCs w:val="20"/>
        </w:rPr>
        <w:instrText>«CoordinatorEmail»</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B75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5</cp:revision>
  <dcterms:created xsi:type="dcterms:W3CDTF">2024-01-15T13:48:00Z</dcterms:created>
  <dcterms:modified xsi:type="dcterms:W3CDTF">2024-01-16T14:02:00Z</dcterms:modified>
</cp:coreProperties>
</file>