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2113064" cy="192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bwMode="auto">
                    <a:xfrm>
                      <a:off x="0" y="0"/>
                      <a:ext cx="2113064" cy="192096"/>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sz w:val="28"/>
          <w:szCs w:val="28"/>
        </w:rPr>
        <w:t>11th Annual Multidisciplinary Head and Neck Cancer Symposium</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05/03/2024 7:30 AM</w:t>
      </w:r>
      <w:r w:rsidRPr="003F5D69" w:rsidR="00FE207D">
        <w:rPr>
          <w:rFonts w:cs="Arial"/>
          <w:b/>
          <w:noProof/>
          <w:sz w:val="28"/>
          <w:szCs w:val="28"/>
        </w:rPr>
        <w:t xml:space="preserve"> </w:t>
      </w:r>
      <w:r w:rsidRPr="003F5D69">
        <w:rPr>
          <w:rFonts w:cs="Arial"/>
          <w:b/>
          <w:noProof/>
          <w:sz w:val="28"/>
          <w:szCs w:val="28"/>
        </w:rPr>
        <w:t>Orchard Lake Country Club - 5000 W Shore Drive</w:t>
      </w:r>
    </w:p>
    <w:p w:rsidR="00B635C4" w:rsidRPr="003F5D69" w:rsidP="006A623D">
      <w:pPr>
        <w:spacing w:line="240" w:lineRule="auto"/>
        <w:rPr>
          <w:rFonts w:cs="Arial"/>
          <w:sz w:val="24"/>
        </w:rPr>
      </w:pPr>
      <w:r>
        <w:rPr>
          <w:rtl w:val="0"/>
        </w:rPr>
        <w:t>• To educate and improve head and neck cancer care delivery. • To update providers on latest advances, review guidelines, introduce innovations in head and neck cancer care. • To emphasize and highlight the importance of Speech/swallow therapy, Nutrition and Psychology involvement in head and neck cancer treatment. • To update providers on latest advances, review guidelines, introduce innovations in thyroid cancer care and endocrine surgery.</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rPr>
        <w:t>1 Review and discuss the components of a multidisciplinary care team and the benefits of this model of cancer care</w:t>
      </w:r>
    </w:p>
    <w:p w:rsidRPr="003F5D69" w:rsidP="006A623D">
      <w:pPr>
        <w:spacing w:line="240" w:lineRule="auto"/>
        <w:rPr>
          <w:rFonts w:cs="Arial"/>
        </w:rPr>
      </w:pPr>
      <w:r w:rsidRPr="003F5D69">
        <w:rPr>
          <w:rFonts w:cs="Arial"/>
        </w:rPr>
        <w:t>2 Review and discuss the literature regarding best practice treatment modalities for head and neck cancer care</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rPr>
        <w:t>Dermatology, Otolaryngology, Radiation Oncology, Endocrinology, Dentistry, Oral Surgery, Medical Oncology</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Arti Bhan,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Singer,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Chang,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 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Vivian Wu,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Farzan Siddiqui,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Samantha Tam,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Shivangi Lohia,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Syed Ahmed Ali,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M Weise,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Patrick Ha,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Royalties or Patent Beneficiary-Wiley - 01/11/2024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Naifa L Busaidy,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Rushil R Dang, DMD,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- 04/30/2024</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DC74F2" w:rsidRPr="00A93439" w:rsidP="00CC477A">
      <w:pPr>
        <w:spacing w:line="240" w:lineRule="auto"/>
        <w:rPr>
          <w:rFonts w:cs="Arial"/>
          <w:b/>
          <w:bCs/>
          <w:sz w:val="20"/>
          <w:szCs w:val="20"/>
        </w:rPr>
      </w:pPr>
      <w:r w:rsidRPr="003F5D69">
        <w:rPr>
          <w:rFonts w:cs="Arial"/>
          <w:b/>
          <w:bCs/>
          <w:sz w:val="20"/>
          <w:szCs w:val="20"/>
        </w:rPr>
        <w:t xml:space="preserve">ACCREDITATION STATEMENT: </w:t>
      </w:r>
      <w:r w:rsidRPr="00DC74F2">
        <w:rPr>
          <w:rFonts w:cs="Arial"/>
          <w:sz w:val="20"/>
          <w:szCs w:val="20"/>
        </w:rPr>
        <w:t>Henry Ford Health is accredited by the Accreditation Council for Continuing Medical Education to provide continuing medical education for physicians. </w:t>
      </w:r>
    </w:p>
    <w:p w:rsidR="00A76840" w:rsidRPr="00A93439" w:rsidP="00A76840">
      <w:pPr>
        <w:spacing w:line="240" w:lineRule="auto"/>
        <w:rPr>
          <w:rFonts w:cs="Arial"/>
          <w:b/>
          <w:bCs/>
          <w:sz w:val="20"/>
          <w:szCs w:val="20"/>
        </w:rPr>
      </w:pPr>
      <w:r w:rsidRPr="003F5D69">
        <w:rPr>
          <w:rFonts w:cs="Arial"/>
          <w:b/>
          <w:bCs/>
          <w:sz w:val="20"/>
          <w:szCs w:val="20"/>
        </w:rPr>
        <w:t>DESIGNATION STATEMENT:</w:t>
      </w:r>
      <w:r w:rsidRPr="003F5D69">
        <w:rPr>
          <w:b/>
          <w:bCs/>
          <w:sz w:val="20"/>
          <w:szCs w:val="20"/>
        </w:rPr>
        <w:t xml:space="preserve"> </w:t>
      </w:r>
      <w:r w:rsidRPr="00DC74F2" w:rsidR="0028578E">
        <w:rPr>
          <w:rFonts w:cs="Arial"/>
          <w:sz w:val="20"/>
          <w:szCs w:val="20"/>
        </w:rPr>
        <w:t>Henry Ford Health designates this live course for a maximum of </w:t>
      </w:r>
      <w:r w:rsidR="007969BD">
        <w:rPr>
          <w:rFonts w:cs="Arial"/>
          <w:noProof/>
          <w:sz w:val="20"/>
          <w:szCs w:val="20"/>
        </w:rPr>
        <w:t>5.25</w:t>
      </w:r>
      <w:r w:rsidRPr="00DC74F2" w:rsidR="0028578E">
        <w:rPr>
          <w:rFonts w:cs="Arial"/>
          <w:sz w:val="20"/>
          <w:szCs w:val="20"/>
        </w:rPr>
        <w:t> </w:t>
      </w:r>
      <w:r w:rsidRPr="00DC74F2" w:rsidR="0028578E">
        <w:rPr>
          <w:rFonts w:cs="Arial"/>
          <w:i/>
          <w:iCs/>
          <w:sz w:val="20"/>
          <w:szCs w:val="20"/>
        </w:rPr>
        <w:t>AMA PRA Category 1 Credit(s) TM</w:t>
      </w:r>
      <w:r w:rsidRPr="00DC74F2" w:rsidR="0028578E">
        <w:rPr>
          <w:rFonts w:cs="Arial"/>
          <w:sz w:val="20"/>
          <w:szCs w:val="20"/>
        </w:rPr>
        <w:t>. Physicians should only claim the credit commensurate with the extent of their participation in the activity.</w:t>
      </w:r>
      <w:r w:rsidRPr="00DC74F2">
        <w:rPr>
          <w:rFonts w:cs="Arial"/>
          <w:sz w:val="20"/>
          <w:szCs w:val="20"/>
        </w:rPr>
        <w:fldChar w:fldCharType="begin"/>
      </w:r>
      <w:r w:rsidRPr="00DC74F2">
        <w:rPr>
          <w:rFonts w:cs="Arial"/>
          <w:sz w:val="20"/>
          <w:szCs w:val="20"/>
        </w:rPr>
        <w:instrText xml:space="preserve"> IF </w:instrText>
      </w:r>
      <w:r w:rsidRPr="00DC74F2">
        <w:rPr>
          <w:rFonts w:cs="Arial"/>
          <w:sz w:val="20"/>
          <w:szCs w:val="20"/>
        </w:rPr>
        <w:instrText>5.25</w:instrText>
      </w:r>
      <w:r w:rsidRPr="00DC74F2">
        <w:rPr>
          <w:rFonts w:cs="Arial"/>
          <w:sz w:val="20"/>
          <w:szCs w:val="20"/>
        </w:rPr>
        <w:instrText xml:space="preserve"> &gt; 0 "</w:instrText>
      </w:r>
    </w:p>
    <w:p w:rsidR="00A76840" w:rsidRPr="00DC74F2" w:rsidP="00A76840">
      <w:pPr>
        <w:spacing w:line="240" w:lineRule="auto"/>
        <w:rPr>
          <w:rFonts w:cs="Arial"/>
          <w:sz w:val="20"/>
          <w:szCs w:val="20"/>
        </w:rPr>
      </w:pPr>
      <w:r w:rsidRPr="00DC74F2">
        <w:rPr>
          <w:rFonts w:cs="Arial"/>
          <w:sz w:val="20"/>
          <w:szCs w:val="20"/>
        </w:rPr>
        <w:instrText xml:space="preserve">ABIM MOC Part 2: Successful completion of this CME activity, which includes participation in the evaluation component, enables the participant to earn up to </w:instrText>
      </w:r>
      <w:r w:rsidRPr="00DC74F2">
        <w:rPr>
          <w:rFonts w:cs="Arial"/>
          <w:sz w:val="20"/>
          <w:szCs w:val="20"/>
        </w:rPr>
        <w:instrText>5.25</w:instrText>
      </w:r>
      <w:r w:rsidRPr="00DC74F2">
        <w:rPr>
          <w:rFonts w:cs="Arial"/>
          <w:sz w:val="20"/>
          <w:szCs w:val="20"/>
        </w:rPr>
        <w:instrText xml:space="preserve"> MOC points in the American Board of Internal Medicine’s (ABIM) Maintenance of Certification (MOC) program. It is the CME activity provider’s responsibility to submit participant completion information to ACCME for the purpose of granting ABIM MOC credit." "" </w:instrText>
      </w:r>
      <w:r w:rsidRPr="00DC74F2">
        <w:rPr>
          <w:rFonts w:cs="Arial"/>
          <w:sz w:val="20"/>
          <w:szCs w:val="20"/>
        </w:rPr>
        <w:fldChar w:fldCharType="separate"/>
      </w:r>
    </w:p>
    <w:p w:rsidRPr="00DC74F2" w:rsidP="00A76840">
      <w:pPr>
        <w:spacing w:line="240" w:lineRule="auto"/>
        <w:rPr>
          <w:rFonts w:cs="Arial"/>
          <w:sz w:val="20"/>
          <w:szCs w:val="20"/>
        </w:rPr>
      </w:pPr>
      <w:r w:rsidRPr="00DC74F2">
        <w:rPr>
          <w:rFonts w:cs="Arial"/>
          <w:sz w:val="20"/>
          <w:szCs w:val="20"/>
        </w:rPr>
        <w:t xml:space="preserve">ABIM MOC Part 2: Successful completion of this CME activity, which includes participation in the evaluation component, enables the participant to earn up to </w:t>
      </w:r>
      <w:r w:rsidRPr="00DC74F2">
        <w:rPr>
          <w:rFonts w:cs="Arial"/>
          <w:sz w:val="20"/>
          <w:szCs w:val="20"/>
        </w:rPr>
        <w:t>5.25</w:t>
      </w:r>
      <w:r w:rsidRPr="00DC74F2">
        <w:rPr>
          <w:rFonts w:cs="Arial"/>
          <w:sz w:val="20"/>
          <w:szCs w:val="20"/>
        </w:rPr>
        <w:t xml:space="preserve"> MOC points in the American Board of Internal Medicine’s (ABIM) Maintenance of Certification (MOC) program. It is the CME activity provider’s responsibility to submit participant completion information to ACCME for the purpose of granting ABIM MOC credit.</w:t>
      </w:r>
      <w:r w:rsidRPr="00DC74F2">
        <w:rPr>
          <w:rFonts w:cs="Arial"/>
          <w:sz w:val="20"/>
          <w:szCs w:val="20"/>
        </w:rPr>
        <w:fldChar w:fldCharType="end"/>
      </w:r>
      <w:r w:rsidRPr="00DC74F2">
        <w:rPr>
          <w:rFonts w:cs="Arial"/>
          <w:sz w:val="20"/>
          <w:szCs w:val="20"/>
        </w:rPr>
        <w:fldChar w:fldCharType="begin"/>
      </w:r>
      <w:r w:rsidRPr="00DC74F2">
        <w:rPr>
          <w:rFonts w:cs="Arial"/>
          <w:sz w:val="20"/>
          <w:szCs w:val="20"/>
        </w:rPr>
        <w:instrText xml:space="preserve"> IF </w:instrText>
      </w:r>
      <w:r w:rsidRPr="00DC74F2">
        <w:rPr>
          <w:rFonts w:cs="Arial"/>
          <w:sz w:val="20"/>
          <w:szCs w:val="20"/>
        </w:rPr>
        <w:instrText>5.25</w:instrText>
      </w:r>
      <w:r w:rsidRPr="00DC74F2">
        <w:rPr>
          <w:rFonts w:cs="Arial"/>
          <w:sz w:val="20"/>
          <w:szCs w:val="20"/>
        </w:rPr>
        <w:instrText xml:space="preserve"> &gt; </w:instrText>
      </w:r>
      <w:r w:rsidRPr="00DC74F2" w:rsidR="00210D87">
        <w:rPr>
          <w:rFonts w:cs="Arial"/>
          <w:sz w:val="20"/>
          <w:szCs w:val="20"/>
        </w:rPr>
        <w:instrText>0</w:instrText>
      </w:r>
      <w:r w:rsidRPr="00DC74F2">
        <w:rPr>
          <w:rFonts w:cs="Arial"/>
          <w:sz w:val="20"/>
          <w:szCs w:val="20"/>
        </w:rPr>
        <w:instrText xml:space="preserve"> "</w:instrText>
      </w:r>
    </w:p>
    <w:p w:rsidR="00993B4D" w:rsidRPr="00DC74F2" w:rsidP="00A76840">
      <w:pPr>
        <w:spacing w:line="240" w:lineRule="auto"/>
        <w:rPr>
          <w:rFonts w:cs="Arial"/>
          <w:sz w:val="20"/>
          <w:szCs w:val="20"/>
        </w:rPr>
      </w:pPr>
      <w:r w:rsidRPr="00DC74F2">
        <w:rPr>
          <w:rFonts w:cs="Arial"/>
          <w:sz w:val="20"/>
          <w:szCs w:val="20"/>
        </w:rPr>
        <w:instrText xml:space="preserve">ABS CC: Successful completion of this CME activity, enables the learner to earn credit toward the CME requirement(s) of the American Board of Surgery’s Continuous Certification program. It is the CME activity provider's responsibility to submit learner completion information to ACCME for the purpose of granting ABS credit." "" </w:instrText>
      </w:r>
      <w:r w:rsidRPr="00DC74F2">
        <w:rPr>
          <w:rFonts w:cs="Arial"/>
          <w:sz w:val="20"/>
          <w:szCs w:val="20"/>
        </w:rPr>
        <w:fldChar w:fldCharType="separate"/>
      </w:r>
    </w:p>
    <w:p w:rsidRPr="00DC74F2" w:rsidP="00A76840">
      <w:pPr>
        <w:spacing w:line="240" w:lineRule="auto"/>
        <w:rPr>
          <w:rFonts w:cs="Arial"/>
          <w:sz w:val="20"/>
          <w:szCs w:val="20"/>
        </w:rPr>
      </w:pPr>
      <w:r w:rsidRPr="00DC74F2">
        <w:rPr>
          <w:rFonts w:cs="Arial"/>
          <w:sz w:val="20"/>
          <w:szCs w:val="20"/>
        </w:rPr>
        <w:t>ABS CC: Successful completion of this CME activity, enables the learner to earn credit toward the CME requirement(s) of the American Board of Surgery’s Continuous Certification program. It is the CME activity provider's responsibility to submit learner completion information to ACCME for the purpose of granting ABS credit.</w:t>
      </w:r>
      <w:r w:rsidRPr="00DC74F2">
        <w:rPr>
          <w:rFonts w:cs="Arial"/>
          <w:sz w:val="20"/>
          <w:szCs w:val="20"/>
        </w:rPr>
        <w:fldChar w:fldCharType="end"/>
      </w:r>
    </w:p>
    <w:p w:rsidR="0028578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w:t>
      </w:r>
      <w:r w:rsidRPr="0028578E">
        <w:rPr>
          <w:rFonts w:cs="Arial"/>
          <w:sz w:val="20"/>
          <w:szCs w:val="20"/>
        </w:rPr>
        <w:t>In compliance with the ACCME standards for Commercial Support, all individuals in a position to control/influence the content of this activity are required to disclose relevant financial interests of their own with any ACCME defined commercial interests for the past 24 months and/or non-FDA approved use of a drug or a device that is included in the presentation. All relevant financial relationships have been mitigated prior to the commencement of the activity.</w:t>
      </w:r>
    </w:p>
    <w:p w:rsidR="0028578E" w:rsidRPr="0028578E" w:rsidP="00802EA0">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28578E">
        <w:rPr>
          <w:rFonts w:cs="Segoe UI"/>
          <w:color w:val="000000"/>
          <w:sz w:val="20"/>
          <w:szCs w:val="20"/>
          <w:shd w:val="clear" w:color="auto" w:fill="FFFFFF"/>
        </w:rPr>
        <w:t xml:space="preserve">Henry Ford Health provides qualified interpreters and other aids for Deaf, </w:t>
      </w:r>
      <w:r w:rsidRPr="0028578E">
        <w:rPr>
          <w:rFonts w:cs="Segoe UI"/>
          <w:color w:val="000000"/>
          <w:sz w:val="20"/>
          <w:szCs w:val="20"/>
          <w:shd w:val="clear" w:color="auto" w:fill="FFFFFF"/>
        </w:rPr>
        <w:t>DeafBlind</w:t>
      </w:r>
      <w:r w:rsidRPr="0028578E">
        <w:rPr>
          <w:rFonts w:cs="Segoe UI"/>
          <w:color w:val="000000"/>
          <w:sz w:val="20"/>
          <w:szCs w:val="20"/>
          <w:shd w:val="clear" w:color="auto" w:fill="FFFFFF"/>
        </w:rPr>
        <w:t xml:space="preserve">, and Hard-of-Hearing persons at no cost. To request assistance, contact the event coordinator </w:t>
      </w:r>
      <w:r w:rsidR="007969BD">
        <w:rPr>
          <w:rFonts w:cs="Segoe UI"/>
          <w:color w:val="000000"/>
          <w:sz w:val="20"/>
          <w:szCs w:val="20"/>
          <w:shd w:val="clear" w:color="auto" w:fill="FFFFFF"/>
        </w:rPr>
        <w:t xml:space="preserve"> </w:t>
      </w:r>
      <w:r w:rsidRPr="0028578E">
        <w:rPr>
          <w:rFonts w:cs="Arial"/>
          <w:sz w:val="20"/>
          <w:szCs w:val="20"/>
        </w:rPr>
        <w:fldChar w:fldCharType="begin"/>
      </w:r>
      <w:r w:rsidRPr="0028578E">
        <w:rPr>
          <w:rFonts w:cs="Arial"/>
          <w:sz w:val="20"/>
          <w:szCs w:val="20"/>
        </w:rPr>
        <w:instrText xml:space="preserve"> IF  </w:instrText>
      </w:r>
      <w:r w:rsidRPr="0028578E">
        <w:rPr>
          <w:rFonts w:cs="Arial"/>
          <w:sz w:val="20"/>
          <w:szCs w:val="20"/>
        </w:rPr>
        <w:instrText>"</w:instrText>
      </w:r>
      <w:r w:rsidRPr="0028578E">
        <w:rPr>
          <w:rFonts w:cs="Arial"/>
          <w:sz w:val="20"/>
          <w:szCs w:val="20"/>
        </w:rPr>
        <w:instrText>"</w:instrText>
      </w:r>
      <w:r w:rsidRPr="0028578E">
        <w:rPr>
          <w:rFonts w:cs="Arial"/>
          <w:sz w:val="20"/>
          <w:szCs w:val="20"/>
        </w:rPr>
        <w:instrText xml:space="preserve"> &lt;&gt; "" "If you have questions, please email </w:instrText>
      </w:r>
      <w:r w:rsidRPr="0028578E">
        <w:rPr>
          <w:rFonts w:cs="Arial"/>
          <w:sz w:val="20"/>
          <w:szCs w:val="20"/>
        </w:rPr>
        <w:fldChar w:fldCharType="begin"/>
      </w:r>
      <w:r w:rsidRPr="0028578E">
        <w:rPr>
          <w:rFonts w:cs="Arial"/>
          <w:sz w:val="20"/>
          <w:szCs w:val="20"/>
        </w:rPr>
        <w:instrText xml:space="preserve"> MERGEFIELD </w:instrText>
      </w:r>
      <w:r w:rsidR="007969BD">
        <w:rPr>
          <w:rFonts w:cs="Arial"/>
          <w:sz w:val="20"/>
          <w:szCs w:val="20"/>
        </w:rPr>
        <w:instrText>CoordinatorStatement</w:instrText>
      </w:r>
      <w:r w:rsidRPr="0028578E">
        <w:rPr>
          <w:rFonts w:cs="Arial"/>
          <w:sz w:val="20"/>
          <w:szCs w:val="20"/>
        </w:rPr>
        <w:instrText xml:space="preserve"> </w:instrText>
      </w:r>
      <w:r w:rsidRPr="0028578E">
        <w:rPr>
          <w:rFonts w:cs="Arial"/>
          <w:sz w:val="20"/>
          <w:szCs w:val="20"/>
        </w:rPr>
        <w:fldChar w:fldCharType="separate"/>
      </w:r>
      <w:r w:rsidR="007969BD">
        <w:rPr>
          <w:rFonts w:cs="Arial"/>
          <w:noProof/>
          <w:sz w:val="20"/>
          <w:szCs w:val="20"/>
        </w:rPr>
        <w:instrText>«CoordinatorStatement»</w:instrText>
      </w:r>
      <w:r w:rsidRPr="0028578E">
        <w:rPr>
          <w:rFonts w:cs="Arial"/>
          <w:sz w:val="20"/>
          <w:szCs w:val="20"/>
        </w:rPr>
        <w:fldChar w:fldCharType="end"/>
      </w:r>
      <w:r w:rsidRPr="0028578E">
        <w:rPr>
          <w:rFonts w:cs="Arial"/>
          <w:sz w:val="20"/>
          <w:szCs w:val="20"/>
        </w:rPr>
        <w:instrText>." ""</w:instrText>
      </w:r>
      <w:r w:rsidRPr="0028578E">
        <w:rPr>
          <w:rFonts w:cs="Arial"/>
          <w:sz w:val="20"/>
          <w:szCs w:val="20"/>
        </w:rPr>
        <w:fldChar w:fldCharType="separate"/>
      </w:r>
      <w:r w:rsidRPr="0028578E">
        <w:rPr>
          <w:rFonts w:cs="Arial"/>
          <w:sz w:val="20"/>
          <w:szCs w:val="20"/>
        </w:rPr>
        <w:fldChar w:fldCharType="end"/>
      </w:r>
      <w:r w:rsidRPr="0028578E">
        <w:rPr>
          <w:rFonts w:cs="Segoe UI"/>
          <w:color w:val="000000"/>
          <w:sz w:val="20"/>
          <w:szCs w:val="20"/>
          <w:shd w:val="clear" w:color="auto" w:fill="FFFFFF"/>
        </w:rPr>
        <w:t xml:space="preserve"> Please allow a minimum of 3 days to process this request.</w:t>
      </w:r>
    </w:p>
    <w:sectPr w:rsidSect="00194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1299</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Munk, Kory</cp:lastModifiedBy>
  <cp:revision>3</cp:revision>
  <dcterms:created xsi:type="dcterms:W3CDTF">2024-03-15T00:44:00Z</dcterms:created>
  <dcterms:modified xsi:type="dcterms:W3CDTF">2024-03-15T00:44:00Z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d87d5842cd70afe8b9cf581bf422cfcbc822beadda7edfc8b3083865ba3eee6d</vt:lpwstr>
  </property>
</Properties>
</file>