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2113064" cy="192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bwMode="auto">
                    <a:xfrm>
                      <a:off x="0" y="0"/>
                      <a:ext cx="2113064" cy="192096"/>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sz w:val="28"/>
          <w:szCs w:val="28"/>
        </w:rPr>
        <w:t>Michigan Society of Echocardiogram (4/17/24)</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04/17/2024 6:00 PM</w:t>
      </w:r>
      <w:r w:rsidRPr="003F5D69" w:rsidR="00FE207D">
        <w:rPr>
          <w:rFonts w:cs="Arial"/>
          <w:b/>
          <w:noProof/>
          <w:sz w:val="28"/>
          <w:szCs w:val="28"/>
        </w:rPr>
        <w:t xml:space="preserve"> </w:t>
      </w:r>
      <w:r w:rsidRPr="003F5D69">
        <w:rPr>
          <w:rFonts w:cs="Arial"/>
          <w:b/>
          <w:noProof/>
          <w:sz w:val="28"/>
          <w:szCs w:val="28"/>
        </w:rPr>
        <w:t>Hybrid - HFH E&amp;R 2055 &amp; WebEx</w:t>
      </w:r>
    </w:p>
    <w:p w:rsidR="00B635C4" w:rsidRPr="003F5D69" w:rsidP="006A623D">
      <w:pPr>
        <w:spacing w:line="240" w:lineRule="auto"/>
        <w:rPr>
          <w:rFonts w:cs="Arial"/>
          <w:sz w:val="24"/>
        </w:rPr>
      </w:pPr>
      <w:r>
        <w:rPr>
          <w:rtl w:val="0"/>
        </w:rPr>
        <w:t>The Michigan Society of Echo Cardiology Symposium is a meeting targeted towards Practicing Cardiologists specializing in echocardiography, cardiology fellows and cardiac sonographers. It will feature a diverse group of speakers who will present on topics ranging from multimodality case presentations to team-based care and the evolving role of echocardiography. The symposium aims to address the dynamic healthcare landscape, offering insights into integrating diverse imaging technologies and advancing clinical decision-making.</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rPr>
        <w:t>1  Improve competence in integrating echocardiography with diverse imaging technologies for diagnostics and procedural planning, empowering practicing cardiologists, cardiology fellows, and cardiac sonographers to elevate diagnostic precision in their everyday clinical practice.</w:t>
      </w:r>
    </w:p>
    <w:p w:rsidRPr="003F5D69" w:rsidP="006A623D">
      <w:pPr>
        <w:spacing w:line="240" w:lineRule="auto"/>
        <w:rPr>
          <w:rFonts w:cs="Arial"/>
        </w:rPr>
      </w:pPr>
      <w:r w:rsidRPr="003F5D69">
        <w:rPr>
          <w:rFonts w:cs="Arial"/>
        </w:rPr>
        <w:t>2 Elevate clinical decision-making proficiency and performance through the interpretation of complex cases and a nuanced understanding of strengths and limitations of various multimodality cardiac imaging techniques for effective patient management across diverse clinical scenarios.</w:t>
      </w:r>
    </w:p>
    <w:p w:rsidRPr="003F5D69" w:rsidP="006A623D">
      <w:pPr>
        <w:spacing w:line="240" w:lineRule="auto"/>
        <w:rPr>
          <w:rFonts w:cs="Arial"/>
        </w:rPr>
      </w:pPr>
      <w:r w:rsidRPr="003F5D69">
        <w:rPr>
          <w:rFonts w:cs="Arial"/>
        </w:rPr>
        <w:t>3 Improve the performance and quality of echocardiography to improve patient outcomes by demonstrating the clinical relevance of nuanced echocardiographic image acquisition utilizing a purpose based mindset.</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rPr>
        <w:t>Cardiology</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Tiberio Frisoli,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Fee-Boston Scientific|Consulting Fee-Edwards Lifesciences|Consulting Fee-Abbott (St Jude Amplatzer) - 01/07/2024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Khaled Nour,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Dawdy,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Bryan Zweig,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James Lee, MD, FACC, FASE, FSCCT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support-Heartflow (Relationship has ended)|Grant or research support-Zoll - 12/22/2023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Georgi Fram,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Sachin Parikh, MD, FACC FASE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Vaidahi Patel, MD-Fellow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Tameka French-King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- 12/14/2023</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DC74F2" w:rsidRPr="00A93439" w:rsidP="00CC477A">
      <w:pPr>
        <w:spacing w:line="240" w:lineRule="auto"/>
        <w:rPr>
          <w:rFonts w:cs="Arial"/>
          <w:b/>
          <w:bCs/>
          <w:sz w:val="20"/>
          <w:szCs w:val="20"/>
        </w:rPr>
      </w:pPr>
      <w:r w:rsidRPr="003F5D69">
        <w:rPr>
          <w:rFonts w:cs="Arial"/>
          <w:b/>
          <w:bCs/>
          <w:sz w:val="20"/>
          <w:szCs w:val="20"/>
        </w:rPr>
        <w:t xml:space="preserve">ACCREDITATION STATEMENT: </w:t>
      </w:r>
      <w:r w:rsidRPr="00DC74F2">
        <w:rPr>
          <w:rFonts w:cs="Arial"/>
          <w:sz w:val="20"/>
          <w:szCs w:val="20"/>
        </w:rPr>
        <w:t>Henry Ford Health is accredited by the Accreditation Council for Continuing Medical Education to provide continuing medical education for physicians. </w:t>
      </w:r>
    </w:p>
    <w:p w:rsidR="00A76840" w:rsidRPr="00A93439" w:rsidP="00A76840">
      <w:pPr>
        <w:spacing w:line="240" w:lineRule="auto"/>
        <w:rPr>
          <w:rFonts w:cs="Arial"/>
          <w:b/>
          <w:bCs/>
          <w:sz w:val="20"/>
          <w:szCs w:val="20"/>
        </w:rPr>
      </w:pPr>
      <w:r w:rsidRPr="003F5D69">
        <w:rPr>
          <w:rFonts w:cs="Arial"/>
          <w:b/>
          <w:bCs/>
          <w:sz w:val="20"/>
          <w:szCs w:val="20"/>
        </w:rPr>
        <w:t>DESIGNATION STATEMENT:</w:t>
      </w:r>
      <w:r w:rsidRPr="003F5D69">
        <w:rPr>
          <w:b/>
          <w:bCs/>
          <w:sz w:val="20"/>
          <w:szCs w:val="20"/>
        </w:rPr>
        <w:t xml:space="preserve"> </w:t>
      </w:r>
      <w:r w:rsidRPr="00DC74F2" w:rsidR="0028578E">
        <w:rPr>
          <w:rFonts w:cs="Arial"/>
          <w:sz w:val="20"/>
          <w:szCs w:val="20"/>
        </w:rPr>
        <w:t>Henry Ford Health designates this live course for a maximum of </w:t>
      </w:r>
      <w:r w:rsidR="007969BD">
        <w:rPr>
          <w:rFonts w:cs="Arial"/>
          <w:noProof/>
          <w:sz w:val="20"/>
          <w:szCs w:val="20"/>
        </w:rPr>
        <w:t>2.25</w:t>
      </w:r>
      <w:r w:rsidRPr="00DC74F2" w:rsidR="0028578E">
        <w:rPr>
          <w:rFonts w:cs="Arial"/>
          <w:sz w:val="20"/>
          <w:szCs w:val="20"/>
        </w:rPr>
        <w:t> </w:t>
      </w:r>
      <w:r w:rsidRPr="00DC74F2" w:rsidR="0028578E">
        <w:rPr>
          <w:rFonts w:cs="Arial"/>
          <w:i/>
          <w:iCs/>
          <w:sz w:val="20"/>
          <w:szCs w:val="20"/>
        </w:rPr>
        <w:t>AMA PRA Category 1 Credit(s) TM</w:t>
      </w:r>
      <w:r w:rsidRPr="00DC74F2" w:rsidR="0028578E">
        <w:rPr>
          <w:rFonts w:cs="Arial"/>
          <w:sz w:val="20"/>
          <w:szCs w:val="20"/>
        </w:rPr>
        <w:t>. Physicians should only claim the credit commensurate with the extent of their participation in the activity.</w:t>
      </w:r>
      <w:r w:rsidRPr="00DC74F2">
        <w:rPr>
          <w:rFonts w:cs="Arial"/>
          <w:sz w:val="20"/>
          <w:szCs w:val="20"/>
        </w:rPr>
        <w:fldChar w:fldCharType="begin"/>
      </w:r>
      <w:r w:rsidRPr="00DC74F2">
        <w:rPr>
          <w:rFonts w:cs="Arial"/>
          <w:sz w:val="20"/>
          <w:szCs w:val="20"/>
        </w:rPr>
        <w:instrText xml:space="preserve"> IF </w:instrText>
      </w:r>
      <w:r w:rsidRPr="00DC74F2">
        <w:rPr>
          <w:rFonts w:cs="Arial"/>
          <w:sz w:val="20"/>
          <w:szCs w:val="20"/>
        </w:rPr>
        <w:instrText>0.00</w:instrText>
      </w:r>
      <w:r w:rsidRPr="00DC74F2">
        <w:rPr>
          <w:rFonts w:cs="Arial"/>
          <w:sz w:val="20"/>
          <w:szCs w:val="20"/>
        </w:rPr>
        <w:instrText xml:space="preserve"> &gt; 0 "</w:instrText>
      </w:r>
    </w:p>
    <w:p w:rsidR="00A76840" w:rsidRPr="00DC74F2" w:rsidP="00A76840">
      <w:pPr>
        <w:spacing w:line="240" w:lineRule="auto"/>
        <w:rPr>
          <w:rFonts w:cs="Arial"/>
          <w:sz w:val="20"/>
          <w:szCs w:val="20"/>
        </w:rPr>
      </w:pPr>
      <w:r w:rsidRPr="00DC74F2">
        <w:rPr>
          <w:rFonts w:cs="Arial"/>
          <w:sz w:val="20"/>
          <w:szCs w:val="20"/>
        </w:rPr>
        <w:instrText xml:space="preserve">ABIM MOC Part 2: Successful completion of this CME activity, which includes participation in the evaluation component, enables the participant to earn up to </w:instrText>
      </w:r>
      <w:r w:rsidRPr="00DC74F2">
        <w:rPr>
          <w:rFonts w:cs="Arial"/>
          <w:sz w:val="20"/>
          <w:szCs w:val="20"/>
        </w:rPr>
        <w:fldChar w:fldCharType="begin"/>
      </w:r>
      <w:r w:rsidRPr="00DC74F2">
        <w:rPr>
          <w:rFonts w:cs="Arial"/>
          <w:sz w:val="20"/>
          <w:szCs w:val="20"/>
        </w:rPr>
        <w:instrText xml:space="preserve"> MERGEFIELD ABIMMOC2Max \# 0.00# </w:instrText>
      </w:r>
      <w:r w:rsidRPr="00DC74F2">
        <w:rPr>
          <w:rFonts w:cs="Arial"/>
          <w:sz w:val="20"/>
          <w:szCs w:val="20"/>
        </w:rPr>
        <w:fldChar w:fldCharType="separate"/>
      </w:r>
      <w:r w:rsidRPr="00DC74F2">
        <w:rPr>
          <w:rFonts w:cs="Arial"/>
          <w:sz w:val="20"/>
          <w:szCs w:val="20"/>
        </w:rPr>
        <w:fldChar w:fldCharType="end"/>
      </w:r>
      <w:r w:rsidRPr="00DC74F2">
        <w:rPr>
          <w:rFonts w:cs="Arial"/>
          <w:sz w:val="20"/>
          <w:szCs w:val="20"/>
        </w:rPr>
        <w:instrText xml:space="preserve"> MOC points in the American Board of Internal Medicine’s (ABIM) Maintenance of Certification (MOC) program. It is the CME activity provider’s responsibility to submit participant completion information to ACCME for the purpose of granting ABIM MOC credit." "" </w:instrText>
      </w:r>
      <w:r w:rsidRPr="00DC74F2">
        <w:rPr>
          <w:rFonts w:cs="Arial"/>
          <w:sz w:val="20"/>
          <w:szCs w:val="20"/>
        </w:rPr>
        <w:fldChar w:fldCharType="separate"/>
      </w:r>
      <w:r w:rsidRPr="00DC74F2">
        <w:rPr>
          <w:rFonts w:cs="Arial"/>
          <w:sz w:val="20"/>
          <w:szCs w:val="20"/>
        </w:rPr>
        <w:fldChar w:fldCharType="end"/>
      </w:r>
      <w:r w:rsidRPr="00DC74F2">
        <w:rPr>
          <w:rFonts w:cs="Arial"/>
          <w:sz w:val="20"/>
          <w:szCs w:val="20"/>
        </w:rPr>
        <w:fldChar w:fldCharType="begin"/>
      </w:r>
      <w:r w:rsidRPr="00DC74F2">
        <w:rPr>
          <w:rFonts w:cs="Arial"/>
          <w:sz w:val="20"/>
          <w:szCs w:val="20"/>
        </w:rPr>
        <w:instrText xml:space="preserve"> IF </w:instrText>
      </w:r>
      <w:r w:rsidRPr="00DC74F2">
        <w:rPr>
          <w:rFonts w:cs="Arial"/>
          <w:sz w:val="20"/>
          <w:szCs w:val="20"/>
        </w:rPr>
        <w:instrText>0.00</w:instrText>
      </w:r>
      <w:r w:rsidRPr="00DC74F2">
        <w:rPr>
          <w:rFonts w:cs="Arial"/>
          <w:sz w:val="20"/>
          <w:szCs w:val="20"/>
        </w:rPr>
        <w:instrText xml:space="preserve"> &gt; </w:instrText>
      </w:r>
      <w:r w:rsidRPr="00DC74F2" w:rsidR="00210D87">
        <w:rPr>
          <w:rFonts w:cs="Arial"/>
          <w:sz w:val="20"/>
          <w:szCs w:val="20"/>
        </w:rPr>
        <w:instrText>0</w:instrText>
      </w:r>
      <w:r w:rsidRPr="00DC74F2">
        <w:rPr>
          <w:rFonts w:cs="Arial"/>
          <w:sz w:val="20"/>
          <w:szCs w:val="20"/>
        </w:rPr>
        <w:instrText xml:space="preserve"> "</w:instrText>
      </w:r>
    </w:p>
    <w:p w:rsidR="00993B4D" w:rsidRPr="00DC74F2" w:rsidP="00A76840">
      <w:pPr>
        <w:spacing w:line="240" w:lineRule="auto"/>
        <w:rPr>
          <w:rFonts w:cs="Arial"/>
          <w:sz w:val="20"/>
          <w:szCs w:val="20"/>
        </w:rPr>
      </w:pPr>
      <w:r w:rsidRPr="00DC74F2">
        <w:rPr>
          <w:rFonts w:cs="Arial"/>
          <w:sz w:val="20"/>
          <w:szCs w:val="20"/>
        </w:rPr>
        <w:instrText xml:space="preserve">ABS CC: Successful completion of this CME activity, enables the learner to earn credit toward the CME requirement(s) of the American Board of Surgery’s Continuous Certification program. It is the CME activity provider's responsibility to submit learner completion information to ACCME for the purpose of granting ABS credit." "" </w:instrText>
      </w:r>
      <w:r w:rsidRPr="00DC74F2">
        <w:rPr>
          <w:rFonts w:cs="Arial"/>
          <w:sz w:val="20"/>
          <w:szCs w:val="20"/>
        </w:rPr>
        <w:fldChar w:fldCharType="separate"/>
      </w:r>
      <w:r w:rsidRPr="00DC74F2">
        <w:rPr>
          <w:rFonts w:cs="Arial"/>
          <w:sz w:val="20"/>
          <w:szCs w:val="20"/>
        </w:rPr>
        <w:fldChar w:fldCharType="end"/>
      </w:r>
    </w:p>
    <w:p w:rsidR="0028578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w:t>
      </w:r>
      <w:r w:rsidRPr="0028578E">
        <w:rPr>
          <w:rFonts w:cs="Arial"/>
          <w:sz w:val="20"/>
          <w:szCs w:val="20"/>
        </w:rPr>
        <w:t>In compliance with the ACCME standards for Commercial Support, all individuals in a position to control/influence the content of this activity are required to disclose relevant financial interests of their own with any ACCME defined commercial interests for the past 24 months and/or non-FDA approved use of a drug or a device that is included in the presentation. All relevant financial relationships have been mitigated prior to the commencement of the activity.</w:t>
      </w:r>
    </w:p>
    <w:p w:rsidR="0028578E" w:rsidRPr="0028578E" w:rsidP="00802EA0">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28578E">
        <w:rPr>
          <w:rFonts w:cs="Segoe UI"/>
          <w:color w:val="000000"/>
          <w:sz w:val="20"/>
          <w:szCs w:val="20"/>
          <w:shd w:val="clear" w:color="auto" w:fill="FFFFFF"/>
        </w:rPr>
        <w:t xml:space="preserve">Henry Ford Health provides qualified interpreters and other aids for Deaf, </w:t>
      </w:r>
      <w:r w:rsidRPr="0028578E">
        <w:rPr>
          <w:rFonts w:cs="Segoe UI"/>
          <w:color w:val="000000"/>
          <w:sz w:val="20"/>
          <w:szCs w:val="20"/>
          <w:shd w:val="clear" w:color="auto" w:fill="FFFFFF"/>
        </w:rPr>
        <w:t>DeafBlind</w:t>
      </w:r>
      <w:r w:rsidRPr="0028578E">
        <w:rPr>
          <w:rFonts w:cs="Segoe UI"/>
          <w:color w:val="000000"/>
          <w:sz w:val="20"/>
          <w:szCs w:val="20"/>
          <w:shd w:val="clear" w:color="auto" w:fill="FFFFFF"/>
        </w:rPr>
        <w:t xml:space="preserve">, and Hard-of-Hearing persons at no cost. To request assistance, contact the event coordinator </w:t>
      </w:r>
      <w:r w:rsidR="007969BD">
        <w:rPr>
          <w:rFonts w:cs="Segoe UI"/>
          <w:color w:val="000000"/>
          <w:sz w:val="20"/>
          <w:szCs w:val="20"/>
          <w:shd w:val="clear" w:color="auto" w:fill="FFFFFF"/>
        </w:rPr>
        <w:t xml:space="preserve"> </w:t>
      </w:r>
      <w:r w:rsidRPr="0028578E">
        <w:rPr>
          <w:rFonts w:cs="Arial"/>
          <w:sz w:val="20"/>
          <w:szCs w:val="20"/>
        </w:rPr>
        <w:fldChar w:fldCharType="begin"/>
      </w:r>
      <w:r w:rsidRPr="0028578E">
        <w:rPr>
          <w:rFonts w:cs="Arial"/>
          <w:sz w:val="20"/>
          <w:szCs w:val="20"/>
        </w:rPr>
        <w:instrText xml:space="preserve"> IF  </w:instrText>
      </w:r>
      <w:r w:rsidRPr="0028578E">
        <w:rPr>
          <w:rFonts w:cs="Arial"/>
          <w:sz w:val="20"/>
          <w:szCs w:val="20"/>
        </w:rPr>
        <w:instrText>"</w:instrText>
      </w:r>
      <w:r w:rsidRPr="0028578E">
        <w:rPr>
          <w:rFonts w:cs="Arial"/>
          <w:sz w:val="20"/>
          <w:szCs w:val="20"/>
        </w:rPr>
        <w:instrText>"</w:instrText>
      </w:r>
      <w:r w:rsidRPr="0028578E">
        <w:rPr>
          <w:rFonts w:cs="Arial"/>
          <w:sz w:val="20"/>
          <w:szCs w:val="20"/>
        </w:rPr>
        <w:instrText xml:space="preserve"> &lt;&gt; "" "If you have questions, please email </w:instrText>
      </w:r>
      <w:r w:rsidRPr="0028578E">
        <w:rPr>
          <w:rFonts w:cs="Arial"/>
          <w:sz w:val="20"/>
          <w:szCs w:val="20"/>
        </w:rPr>
        <w:fldChar w:fldCharType="begin"/>
      </w:r>
      <w:r w:rsidRPr="0028578E">
        <w:rPr>
          <w:rFonts w:cs="Arial"/>
          <w:sz w:val="20"/>
          <w:szCs w:val="20"/>
        </w:rPr>
        <w:instrText xml:space="preserve"> MERGEFIELD </w:instrText>
      </w:r>
      <w:r w:rsidR="007969BD">
        <w:rPr>
          <w:rFonts w:cs="Arial"/>
          <w:sz w:val="20"/>
          <w:szCs w:val="20"/>
        </w:rPr>
        <w:instrText>CoordinatorStatement</w:instrText>
      </w:r>
      <w:r w:rsidRPr="0028578E">
        <w:rPr>
          <w:rFonts w:cs="Arial"/>
          <w:sz w:val="20"/>
          <w:szCs w:val="20"/>
        </w:rPr>
        <w:instrText xml:space="preserve"> </w:instrText>
      </w:r>
      <w:r w:rsidRPr="0028578E">
        <w:rPr>
          <w:rFonts w:cs="Arial"/>
          <w:sz w:val="20"/>
          <w:szCs w:val="20"/>
        </w:rPr>
        <w:fldChar w:fldCharType="separate"/>
      </w:r>
      <w:r w:rsidR="007969BD">
        <w:rPr>
          <w:rFonts w:cs="Arial"/>
          <w:noProof/>
          <w:sz w:val="20"/>
          <w:szCs w:val="20"/>
        </w:rPr>
        <w:instrText>«CoordinatorStatement»</w:instrText>
      </w:r>
      <w:r w:rsidRPr="0028578E">
        <w:rPr>
          <w:rFonts w:cs="Arial"/>
          <w:sz w:val="20"/>
          <w:szCs w:val="20"/>
        </w:rPr>
        <w:fldChar w:fldCharType="end"/>
      </w:r>
      <w:r w:rsidRPr="0028578E">
        <w:rPr>
          <w:rFonts w:cs="Arial"/>
          <w:sz w:val="20"/>
          <w:szCs w:val="20"/>
        </w:rPr>
        <w:instrText>." ""</w:instrText>
      </w:r>
      <w:r w:rsidRPr="0028578E">
        <w:rPr>
          <w:rFonts w:cs="Arial"/>
          <w:sz w:val="20"/>
          <w:szCs w:val="20"/>
        </w:rPr>
        <w:fldChar w:fldCharType="separate"/>
      </w:r>
      <w:r w:rsidRPr="0028578E">
        <w:rPr>
          <w:rFonts w:cs="Arial"/>
          <w:sz w:val="20"/>
          <w:szCs w:val="20"/>
        </w:rPr>
        <w:fldChar w:fldCharType="end"/>
      </w:r>
      <w:r w:rsidRPr="0028578E">
        <w:rPr>
          <w:rFonts w:cs="Segoe UI"/>
          <w:color w:val="000000"/>
          <w:sz w:val="20"/>
          <w:szCs w:val="20"/>
          <w:shd w:val="clear" w:color="auto" w:fill="FFFFFF"/>
        </w:rPr>
        <w:t xml:space="preserve"> Please allow a minimum of 3 days to process this request.</w:t>
      </w:r>
    </w:p>
    <w:sectPr w:rsidSect="00194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1299</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Munk, Kory</cp:lastModifiedBy>
  <cp:revision>3</cp:revision>
  <dcterms:created xsi:type="dcterms:W3CDTF">2024-03-15T00:44:00Z</dcterms:created>
  <dcterms:modified xsi:type="dcterms:W3CDTF">2024-03-15T00:44:00Z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d87d5842cd70afe8b9cf581bf422cfcbc822beadda7edfc8b3083865ba3eee6d</vt:lpwstr>
  </property>
</Properties>
</file>