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2113064" cy="1920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bwMode="auto">
                    <a:xfrm>
                      <a:off x="0" y="0"/>
                      <a:ext cx="2113064" cy="192096"/>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sz w:val="28"/>
          <w:szCs w:val="28"/>
        </w:rPr>
        <w:t>2nd Annual Detroit Headache and Face Pain Symposium - 5/31/24</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05/31/2024 8:00 AM</w:t>
      </w:r>
      <w:r w:rsidRPr="003F5D69" w:rsidR="00FE207D">
        <w:rPr>
          <w:rFonts w:cs="Arial"/>
          <w:b/>
          <w:noProof/>
          <w:sz w:val="28"/>
          <w:szCs w:val="28"/>
        </w:rPr>
        <w:t xml:space="preserve"> </w:t>
      </w:r>
      <w:r w:rsidRPr="003F5D69">
        <w:rPr>
          <w:rFonts w:cs="Arial"/>
          <w:b/>
          <w:noProof/>
          <w:sz w:val="28"/>
          <w:szCs w:val="28"/>
        </w:rPr>
        <w:t>HFH - Detroit - BUERKI Auditorium</w:t>
      </w:r>
    </w:p>
    <w:p w:rsidR="00B635C4" w:rsidRPr="003F5D69" w:rsidP="006A623D">
      <w:pPr>
        <w:spacing w:line="240" w:lineRule="auto"/>
        <w:rPr>
          <w:rFonts w:cs="Arial"/>
          <w:sz w:val="24"/>
        </w:rPr>
      </w:pPr>
      <w:r>
        <w:rPr>
          <w:rtl w:val="0"/>
        </w:rPr>
        <w:t>Past few years have been very exciting in the headache medicine field. There have been quite it a few new treatments approved lately for management of migraine headache. We have gathered some of the best experts in neurology,pain management, dentistry, and physical therapy to answer the most commonly encountered questions regarding headache disorder diagnosis, differential diagnosis and management in different patient populations.</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rPr>
        <w:t>1 Apply knowledge of the diagnosis and differential diagnosis of headache disorders in clinical practice</w:t>
      </w:r>
    </w:p>
    <w:p w:rsidRPr="003F5D69" w:rsidP="006A623D">
      <w:pPr>
        <w:spacing w:line="240" w:lineRule="auto"/>
        <w:rPr>
          <w:rFonts w:cs="Arial"/>
        </w:rPr>
      </w:pPr>
      <w:r w:rsidRPr="003F5D69">
        <w:rPr>
          <w:rFonts w:cs="Arial"/>
        </w:rPr>
        <w:t>2 Apply knowledge of treatment of migraine in children and adults, including during pregnancy and in patients with other medical co morbidities</w:t>
      </w:r>
    </w:p>
    <w:p w:rsidRPr="003F5D69" w:rsidP="006A623D">
      <w:pPr>
        <w:spacing w:line="240" w:lineRule="auto"/>
        <w:rPr>
          <w:rFonts w:cs="Arial"/>
        </w:rPr>
      </w:pPr>
      <w:r w:rsidRPr="003F5D69">
        <w:rPr>
          <w:rFonts w:cs="Arial"/>
        </w:rPr>
        <w:t>3 Providers will be able to identify comorbidities that might be associated with migraine and affect migraine care</w:t>
      </w:r>
    </w:p>
    <w:p w:rsidRPr="003F5D69" w:rsidP="006A623D">
      <w:pPr>
        <w:spacing w:line="240" w:lineRule="auto"/>
        <w:rPr>
          <w:rFonts w:cs="Arial"/>
        </w:rPr>
      </w:pPr>
    </w:p>
    <w:p w:rsidRPr="003F5D69" w:rsidP="006A623D">
      <w:pPr>
        <w:spacing w:line="240" w:lineRule="auto"/>
        <w:rPr>
          <w:rFonts w:cs="Arial"/>
        </w:rPr>
      </w:pPr>
      <w:r w:rsidRPr="003F5D69">
        <w:rPr>
          <w:rFonts w:cs="Arial"/>
        </w:rPr>
        <w:t>4 Providers will be able to identify lifestyle adjustments that might help with migraine</w:t>
      </w:r>
    </w:p>
    <w:p w:rsidRPr="003F5D69" w:rsidP="006A623D">
      <w:pPr>
        <w:spacing w:line="240" w:lineRule="auto"/>
        <w:rPr>
          <w:rFonts w:cs="Arial"/>
        </w:rPr>
      </w:pP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rPr>
        <w:t>Emergency Medicine, Family Medicine, Internal Medicine, Neurology, Pain Medicine, Neuro-Ophthalmology, Dentistry, Physical Medicine</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Yamin Sallowm,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Christina Miller,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Ashhar Ali, DO</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- 01/30/2024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Angelos Katramados,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- 02/27/2024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Dace Zvirbulis, MD, UCNS certified in Headache Medicine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- 01/31/2024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- 02/20/2024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Andrea K Sherman, PT, DPT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- 02/05/2024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Kendra Hamilton,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- 02/14/2024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Nicole Hammermeister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- 01/31/2024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Mary Megally, DO</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- 02/21/2024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Aarushi Suneja,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Bureau-AbbVie|Advisor-Pfizer - 02/27/2024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Joy Lerner,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- 03/13/2024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Ghabi Kaspo, DDS, Orofacial Pain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- 02/28/2024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Jyotika Singh, DO</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- 02/21/2024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Ayesha Ahmad,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Bureau-AbbVie - 02/16/2024</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DC74F2" w:rsidRPr="00A93439" w:rsidP="00CC477A">
      <w:pPr>
        <w:spacing w:line="240" w:lineRule="auto"/>
        <w:rPr>
          <w:rFonts w:cs="Arial"/>
          <w:b/>
          <w:bCs/>
          <w:sz w:val="20"/>
          <w:szCs w:val="20"/>
        </w:rPr>
      </w:pPr>
      <w:r w:rsidRPr="003F5D69">
        <w:rPr>
          <w:rFonts w:cs="Arial"/>
          <w:b/>
          <w:bCs/>
          <w:sz w:val="20"/>
          <w:szCs w:val="20"/>
        </w:rPr>
        <w:t xml:space="preserve">ACCREDITATION STATEMENT: </w:t>
      </w:r>
      <w:r w:rsidRPr="00DC74F2">
        <w:rPr>
          <w:rFonts w:cs="Arial"/>
          <w:sz w:val="20"/>
          <w:szCs w:val="20"/>
        </w:rPr>
        <w:t>Henry Ford Health is accredited by the Accreditation Council for Continuing Medical Education to provide continuing medical education for physicians. </w:t>
      </w:r>
    </w:p>
    <w:p w:rsidR="00A76840" w:rsidRPr="00A93439" w:rsidP="00A76840">
      <w:pPr>
        <w:spacing w:line="240" w:lineRule="auto"/>
        <w:rPr>
          <w:rFonts w:cs="Arial"/>
          <w:b/>
          <w:bCs/>
          <w:sz w:val="20"/>
          <w:szCs w:val="20"/>
        </w:rPr>
      </w:pPr>
      <w:r w:rsidRPr="003F5D69">
        <w:rPr>
          <w:rFonts w:cs="Arial"/>
          <w:b/>
          <w:bCs/>
          <w:sz w:val="20"/>
          <w:szCs w:val="20"/>
        </w:rPr>
        <w:t>DESIGNATION STATEMENT:</w:t>
      </w:r>
      <w:r w:rsidRPr="003F5D69">
        <w:rPr>
          <w:b/>
          <w:bCs/>
          <w:sz w:val="20"/>
          <w:szCs w:val="20"/>
        </w:rPr>
        <w:t xml:space="preserve"> </w:t>
      </w:r>
      <w:r w:rsidRPr="00DC74F2" w:rsidR="0028578E">
        <w:rPr>
          <w:rFonts w:cs="Arial"/>
          <w:sz w:val="20"/>
          <w:szCs w:val="20"/>
        </w:rPr>
        <w:t>Henry Ford Health designates this live course for a maximum of </w:t>
      </w:r>
      <w:r w:rsidRPr="00DC74F2" w:rsidR="00A3199A">
        <w:rPr>
          <w:rFonts w:cs="Arial"/>
          <w:noProof/>
          <w:sz w:val="20"/>
          <w:szCs w:val="20"/>
        </w:rPr>
        <w:t>6.25</w:t>
      </w:r>
      <w:r w:rsidRPr="00DC74F2" w:rsidR="0028578E">
        <w:rPr>
          <w:rFonts w:cs="Arial"/>
          <w:sz w:val="20"/>
          <w:szCs w:val="20"/>
        </w:rPr>
        <w:t> </w:t>
      </w:r>
      <w:r w:rsidRPr="00DC74F2" w:rsidR="0028578E">
        <w:rPr>
          <w:rFonts w:cs="Arial"/>
          <w:i/>
          <w:iCs/>
          <w:sz w:val="20"/>
          <w:szCs w:val="20"/>
        </w:rPr>
        <w:t>AMA PRA Category 1 Credit(s) TM</w:t>
      </w:r>
      <w:r w:rsidRPr="00DC74F2" w:rsidR="0028578E">
        <w:rPr>
          <w:rFonts w:cs="Arial"/>
          <w:sz w:val="20"/>
          <w:szCs w:val="20"/>
        </w:rPr>
        <w:t>. Physicians should only claim the credit commensurate with the extent of their participation in the activity.</w:t>
      </w:r>
      <w:r w:rsidRPr="00DC74F2">
        <w:rPr>
          <w:rFonts w:cs="Arial"/>
          <w:sz w:val="20"/>
          <w:szCs w:val="20"/>
        </w:rPr>
        <w:fldChar w:fldCharType="begin"/>
      </w:r>
      <w:r w:rsidRPr="00DC74F2">
        <w:rPr>
          <w:rFonts w:cs="Arial"/>
          <w:sz w:val="20"/>
          <w:szCs w:val="20"/>
        </w:rPr>
        <w:instrText xml:space="preserve"> IF </w:instrText>
      </w:r>
      <w:r w:rsidRPr="00DC74F2">
        <w:rPr>
          <w:rFonts w:cs="Arial"/>
          <w:sz w:val="20"/>
          <w:szCs w:val="20"/>
        </w:rPr>
        <w:instrText>0.00</w:instrText>
      </w:r>
      <w:r w:rsidRPr="00DC74F2">
        <w:rPr>
          <w:rFonts w:cs="Arial"/>
          <w:sz w:val="20"/>
          <w:szCs w:val="20"/>
        </w:rPr>
        <w:instrText xml:space="preserve"> &gt; 0 "</w:instrText>
      </w:r>
    </w:p>
    <w:p w:rsidR="00A76840" w:rsidRPr="00DC74F2" w:rsidP="00A76840">
      <w:pPr>
        <w:spacing w:line="240" w:lineRule="auto"/>
        <w:rPr>
          <w:rFonts w:cs="Arial"/>
          <w:sz w:val="20"/>
          <w:szCs w:val="20"/>
        </w:rPr>
      </w:pPr>
      <w:r w:rsidRPr="00DC74F2">
        <w:rPr>
          <w:rFonts w:cs="Arial"/>
          <w:sz w:val="20"/>
          <w:szCs w:val="20"/>
        </w:rPr>
        <w:instrText xml:space="preserve">ABIM MOC Part 2: Successful completion of this CME activity, which includes participation in the evaluation component, enables the participant to earn up to </w:instrText>
      </w:r>
      <w:r w:rsidRPr="00DC74F2">
        <w:rPr>
          <w:rFonts w:cs="Arial"/>
          <w:sz w:val="20"/>
          <w:szCs w:val="20"/>
        </w:rPr>
        <w:fldChar w:fldCharType="begin"/>
      </w:r>
      <w:r w:rsidRPr="00DC74F2">
        <w:rPr>
          <w:rFonts w:cs="Arial"/>
          <w:sz w:val="20"/>
          <w:szCs w:val="20"/>
        </w:rPr>
        <w:instrText xml:space="preserve"> MERGEFIELD ABIMMOC2Max \# 0.00# </w:instrText>
      </w:r>
      <w:r w:rsidRPr="00DC74F2">
        <w:rPr>
          <w:rFonts w:cs="Arial"/>
          <w:sz w:val="20"/>
          <w:szCs w:val="20"/>
        </w:rPr>
        <w:fldChar w:fldCharType="separate"/>
      </w:r>
      <w:r w:rsidRPr="00DC74F2">
        <w:rPr>
          <w:rFonts w:cs="Arial"/>
          <w:sz w:val="20"/>
          <w:szCs w:val="20"/>
        </w:rPr>
        <w:fldChar w:fldCharType="end"/>
      </w:r>
      <w:r w:rsidRPr="00DC74F2">
        <w:rPr>
          <w:rFonts w:cs="Arial"/>
          <w:sz w:val="20"/>
          <w:szCs w:val="20"/>
        </w:rPr>
        <w:instrText xml:space="preserve"> MOC points in the American Board of Internal Medicine’s (ABIM) Maintenance of Certification (MOC) program. It is the CME activity provider’s responsibility to submit participant completion information to ACCME for the purpose of granting ABIM MOC credit." "" </w:instrText>
      </w:r>
      <w:r w:rsidRPr="00DC74F2">
        <w:rPr>
          <w:rFonts w:cs="Arial"/>
          <w:sz w:val="20"/>
          <w:szCs w:val="20"/>
        </w:rPr>
        <w:fldChar w:fldCharType="separate"/>
      </w:r>
      <w:r w:rsidRPr="00DC74F2">
        <w:rPr>
          <w:rFonts w:cs="Arial"/>
          <w:sz w:val="20"/>
          <w:szCs w:val="20"/>
        </w:rPr>
        <w:fldChar w:fldCharType="end"/>
      </w:r>
      <w:r w:rsidRPr="00DC74F2">
        <w:rPr>
          <w:rFonts w:cs="Arial"/>
          <w:sz w:val="20"/>
          <w:szCs w:val="20"/>
        </w:rPr>
        <w:fldChar w:fldCharType="begin"/>
      </w:r>
      <w:r w:rsidRPr="00DC74F2">
        <w:rPr>
          <w:rFonts w:cs="Arial"/>
          <w:sz w:val="20"/>
          <w:szCs w:val="20"/>
        </w:rPr>
        <w:instrText xml:space="preserve"> IF </w:instrText>
      </w:r>
      <w:r w:rsidRPr="00DC74F2">
        <w:rPr>
          <w:rFonts w:cs="Arial"/>
          <w:sz w:val="20"/>
          <w:szCs w:val="20"/>
        </w:rPr>
        <w:instrText>0.00</w:instrText>
      </w:r>
      <w:r w:rsidRPr="00DC74F2">
        <w:rPr>
          <w:rFonts w:cs="Arial"/>
          <w:sz w:val="20"/>
          <w:szCs w:val="20"/>
        </w:rPr>
        <w:instrText xml:space="preserve"> &gt; </w:instrText>
      </w:r>
      <w:r w:rsidRPr="00DC74F2" w:rsidR="00210D87">
        <w:rPr>
          <w:rFonts w:cs="Arial"/>
          <w:sz w:val="20"/>
          <w:szCs w:val="20"/>
        </w:rPr>
        <w:instrText>0</w:instrText>
      </w:r>
      <w:r w:rsidRPr="00DC74F2">
        <w:rPr>
          <w:rFonts w:cs="Arial"/>
          <w:sz w:val="20"/>
          <w:szCs w:val="20"/>
        </w:rPr>
        <w:instrText xml:space="preserve"> "</w:instrText>
      </w:r>
    </w:p>
    <w:p w:rsidR="00993B4D" w:rsidRPr="00DC74F2" w:rsidP="00A76840">
      <w:pPr>
        <w:spacing w:line="240" w:lineRule="auto"/>
        <w:rPr>
          <w:rFonts w:cs="Arial"/>
          <w:sz w:val="20"/>
          <w:szCs w:val="20"/>
        </w:rPr>
      </w:pPr>
      <w:r w:rsidRPr="00DC74F2">
        <w:rPr>
          <w:rFonts w:cs="Arial"/>
          <w:sz w:val="20"/>
          <w:szCs w:val="20"/>
        </w:rPr>
        <w:instrText xml:space="preserve">ABS CC: Successful completion of this CME activity, enables the learner to earn credit toward the CME requirement(s) of the American Board of Surgery’s Continuous Certification program. It is the CME activity provider's responsibility to submit learner completion information to ACCME for the purpose of granting ABS credit." "" </w:instrText>
      </w:r>
      <w:r w:rsidRPr="00DC74F2">
        <w:rPr>
          <w:rFonts w:cs="Arial"/>
          <w:sz w:val="20"/>
          <w:szCs w:val="20"/>
        </w:rPr>
        <w:fldChar w:fldCharType="separate"/>
      </w:r>
      <w:r w:rsidRPr="00DC74F2">
        <w:rPr>
          <w:rFonts w:cs="Arial"/>
          <w:sz w:val="20"/>
          <w:szCs w:val="20"/>
        </w:rPr>
        <w:fldChar w:fldCharType="end"/>
      </w:r>
    </w:p>
    <w:p w:rsidR="0028578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w:t>
      </w:r>
      <w:r w:rsidRPr="0028578E">
        <w:rPr>
          <w:rFonts w:cs="Arial"/>
          <w:sz w:val="20"/>
          <w:szCs w:val="20"/>
        </w:rPr>
        <w:t>In compliance with the ACCME standards for Commercial Support, all individuals in a position to control/influence the content of this activity are required to disclose relevant financial interests of their own with any ACCME defined commercial interests for the past 24 months and/or non-FDA approved use of a drug or a device that is included in the presentation. All relevant financial relationships have been mitigated prior to the commencement of the activity.</w:t>
      </w:r>
    </w:p>
    <w:p w:rsidR="0028578E" w:rsidRPr="0028578E" w:rsidP="00802EA0">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28578E">
        <w:rPr>
          <w:rFonts w:cs="Segoe UI"/>
          <w:color w:val="000000"/>
          <w:sz w:val="20"/>
          <w:szCs w:val="20"/>
          <w:shd w:val="clear" w:color="auto" w:fill="FFFFFF"/>
        </w:rPr>
        <w:t xml:space="preserve">Henry Ford Health provides qualified interpreters and other aids for Deaf, </w:t>
      </w:r>
      <w:r w:rsidRPr="0028578E">
        <w:rPr>
          <w:rFonts w:cs="Segoe UI"/>
          <w:color w:val="000000"/>
          <w:sz w:val="20"/>
          <w:szCs w:val="20"/>
          <w:shd w:val="clear" w:color="auto" w:fill="FFFFFF"/>
        </w:rPr>
        <w:t>DeafBlind</w:t>
      </w:r>
      <w:r w:rsidRPr="0028578E">
        <w:rPr>
          <w:rFonts w:cs="Segoe UI"/>
          <w:color w:val="000000"/>
          <w:sz w:val="20"/>
          <w:szCs w:val="20"/>
          <w:shd w:val="clear" w:color="auto" w:fill="FFFFFF"/>
        </w:rPr>
        <w:t xml:space="preserve">, and Hard-of-Hearing persons at no cost. To request assistance, contact the event coordinator </w:t>
      </w:r>
      <w:r w:rsidR="007B5309">
        <w:rPr>
          <w:rFonts w:cs="Segoe UI"/>
          <w:color w:val="000000"/>
          <w:sz w:val="20"/>
          <w:szCs w:val="20"/>
          <w:shd w:val="clear" w:color="auto" w:fill="FFFFFF"/>
        </w:rPr>
        <w:t xml:space="preserve"> at </w:t>
      </w:r>
      <w:r w:rsidRPr="0028578E">
        <w:rPr>
          <w:rFonts w:cs="Arial"/>
          <w:sz w:val="20"/>
          <w:szCs w:val="20"/>
        </w:rPr>
        <w:fldChar w:fldCharType="begin"/>
      </w:r>
      <w:r w:rsidRPr="0028578E">
        <w:rPr>
          <w:rFonts w:cs="Arial"/>
          <w:sz w:val="20"/>
          <w:szCs w:val="20"/>
        </w:rPr>
        <w:instrText xml:space="preserve"> IF  </w:instrText>
      </w:r>
      <w:r w:rsidRPr="0028578E">
        <w:rPr>
          <w:rFonts w:cs="Arial"/>
          <w:sz w:val="20"/>
          <w:szCs w:val="20"/>
        </w:rPr>
        <w:instrText>"</w:instrText>
      </w:r>
      <w:r w:rsidRPr="0028578E">
        <w:rPr>
          <w:rFonts w:cs="Arial"/>
          <w:sz w:val="20"/>
          <w:szCs w:val="20"/>
        </w:rPr>
        <w:instrText>"</w:instrText>
      </w:r>
      <w:r w:rsidRPr="0028578E">
        <w:rPr>
          <w:rFonts w:cs="Arial"/>
          <w:sz w:val="20"/>
          <w:szCs w:val="20"/>
        </w:rPr>
        <w:instrText xml:space="preserve"> &lt;&gt; "" "If you have questions, please email </w:instrText>
      </w:r>
      <w:r w:rsidRPr="0028578E">
        <w:rPr>
          <w:rFonts w:cs="Arial"/>
          <w:sz w:val="20"/>
          <w:szCs w:val="20"/>
        </w:rPr>
        <w:fldChar w:fldCharType="begin"/>
      </w:r>
      <w:r w:rsidRPr="0028578E">
        <w:rPr>
          <w:rFonts w:cs="Arial"/>
          <w:sz w:val="20"/>
          <w:szCs w:val="20"/>
        </w:rPr>
        <w:instrText xml:space="preserve"> MERGEFIELD Coordinator </w:instrText>
      </w:r>
      <w:r w:rsidRPr="0028578E">
        <w:rPr>
          <w:rFonts w:cs="Arial"/>
          <w:sz w:val="20"/>
          <w:szCs w:val="20"/>
        </w:rPr>
        <w:fldChar w:fldCharType="separate"/>
      </w:r>
      <w:r w:rsidRPr="0028578E">
        <w:rPr>
          <w:rFonts w:cs="Arial"/>
          <w:noProof/>
          <w:sz w:val="20"/>
          <w:szCs w:val="20"/>
        </w:rPr>
        <w:instrText>«Coordinator»</w:instrText>
      </w:r>
      <w:r w:rsidRPr="0028578E">
        <w:rPr>
          <w:rFonts w:cs="Arial"/>
          <w:sz w:val="20"/>
          <w:szCs w:val="20"/>
        </w:rPr>
        <w:fldChar w:fldCharType="end"/>
      </w:r>
      <w:r w:rsidRPr="0028578E">
        <w:rPr>
          <w:rFonts w:cs="Arial"/>
          <w:sz w:val="20"/>
          <w:szCs w:val="20"/>
        </w:rPr>
        <w:instrText xml:space="preserve"> at </w:instrText>
      </w:r>
      <w:r w:rsidRPr="0028578E">
        <w:rPr>
          <w:rFonts w:cs="Arial"/>
          <w:sz w:val="20"/>
          <w:szCs w:val="20"/>
        </w:rPr>
        <w:fldChar w:fldCharType="begin"/>
      </w:r>
      <w:r w:rsidRPr="0028578E">
        <w:rPr>
          <w:rFonts w:cs="Arial"/>
          <w:sz w:val="20"/>
          <w:szCs w:val="20"/>
        </w:rPr>
        <w:instrText xml:space="preserve"> MERGEFIELD CoordinatorEmail </w:instrText>
      </w:r>
      <w:r w:rsidRPr="0028578E">
        <w:rPr>
          <w:rFonts w:cs="Arial"/>
          <w:sz w:val="20"/>
          <w:szCs w:val="20"/>
        </w:rPr>
        <w:fldChar w:fldCharType="separate"/>
      </w:r>
      <w:r w:rsidRPr="0028578E">
        <w:rPr>
          <w:rFonts w:cs="Arial"/>
          <w:noProof/>
          <w:sz w:val="20"/>
          <w:szCs w:val="20"/>
        </w:rPr>
        <w:instrText>«CoordinatorEmail»</w:instrText>
      </w:r>
      <w:r w:rsidRPr="0028578E">
        <w:rPr>
          <w:rFonts w:cs="Arial"/>
          <w:sz w:val="20"/>
          <w:szCs w:val="20"/>
        </w:rPr>
        <w:fldChar w:fldCharType="end"/>
      </w:r>
      <w:r w:rsidRPr="0028578E">
        <w:rPr>
          <w:rFonts w:cs="Arial"/>
          <w:sz w:val="20"/>
          <w:szCs w:val="20"/>
        </w:rPr>
        <w:instrText>." ""</w:instrText>
      </w:r>
      <w:r w:rsidRPr="0028578E">
        <w:rPr>
          <w:rFonts w:cs="Arial"/>
          <w:sz w:val="20"/>
          <w:szCs w:val="20"/>
        </w:rPr>
        <w:fldChar w:fldCharType="separate"/>
      </w:r>
      <w:r w:rsidRPr="0028578E">
        <w:rPr>
          <w:rFonts w:cs="Arial"/>
          <w:sz w:val="20"/>
          <w:szCs w:val="20"/>
        </w:rPr>
        <w:fldChar w:fldCharType="end"/>
      </w:r>
      <w:r w:rsidRPr="0028578E">
        <w:rPr>
          <w:rFonts w:cs="Segoe UI"/>
          <w:color w:val="000000"/>
          <w:sz w:val="20"/>
          <w:szCs w:val="20"/>
          <w:shd w:val="clear" w:color="auto" w:fill="FFFFFF"/>
        </w:rPr>
        <w:t xml:space="preserve"> Please allow a minimum of 3 days to process this request.</w:t>
      </w:r>
    </w:p>
    <w:sectPr w:rsidSect="00B75D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Square, Tyrone</cp:lastModifiedBy>
  <cp:revision>5</cp:revision>
  <dcterms:created xsi:type="dcterms:W3CDTF">2024-01-15T13:48:00Z</dcterms:created>
  <dcterms:modified xsi:type="dcterms:W3CDTF">2024-01-16T14:02:00Z</dcterms:modified>
</cp:coreProperties>
</file>