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Critical Care Lecture Series: Simulation Lab (2024)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05/30/2024 9:00 AM</w:t>
      </w:r>
      <w:r w:rsidRPr="003F5D69" w:rsidR="00FE207D">
        <w:rPr>
          <w:rFonts w:cs="Arial"/>
          <w:b/>
          <w:noProof/>
          <w:sz w:val="28"/>
          <w:szCs w:val="28"/>
        </w:rPr>
        <w:t xml:space="preserve"> </w:t>
      </w:r>
      <w:r w:rsidRPr="003F5D69">
        <w:rPr>
          <w:rFonts w:cs="Arial"/>
          <w:b/>
          <w:noProof/>
          <w:sz w:val="28"/>
          <w:szCs w:val="28"/>
        </w:rPr>
        <w:t>HFH - Detroit - Simulation Center</w:t>
      </w:r>
    </w:p>
    <w:p w:rsidR="00B635C4" w:rsidRPr="003F5D69" w:rsidP="006A623D">
      <w:pPr>
        <w:spacing w:line="240" w:lineRule="auto"/>
        <w:rPr>
          <w:rFonts w:cs="Arial"/>
          <w:sz w:val="24"/>
        </w:rPr>
      </w:pPr>
      <w:r>
        <w:rPr>
          <w:rtl w:val="0"/>
        </w:rPr>
        <w:t>In- person live simulation lab with emphasis on critical care training and education of invasive procedures and clinical management of patients. Demonstrate ability to perform vascular access via central venous catheter placement. Demonstrate ability to stabilize pulmonary status including intubation, small bore chest tube, and large bore chest tube placement. Demonstrate ability to place balloon tamponade for acute gastrointestinal bleeding. Perform comprehensive care in critically ill patients with simulated mannequin scenario.</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 xml:space="preserve">1 Demonstrate ability to perform vascular access via central venous catheter placement </w:t>
      </w:r>
    </w:p>
    <w:p w:rsidRPr="003F5D69" w:rsidP="006A623D">
      <w:pPr>
        <w:spacing w:line="240" w:lineRule="auto"/>
        <w:rPr>
          <w:rFonts w:cs="Arial"/>
        </w:rPr>
      </w:pPr>
      <w:r w:rsidRPr="003F5D69">
        <w:rPr>
          <w:rFonts w:cs="Arial"/>
        </w:rPr>
        <w:t xml:space="preserve">2 Demonstrate ability to stabilize pulmonary status including intubation, small bore chest tube, and large bore chest tube placement </w:t>
      </w:r>
    </w:p>
    <w:p w:rsidRPr="003F5D69" w:rsidP="006A623D">
      <w:pPr>
        <w:spacing w:line="240" w:lineRule="auto"/>
        <w:rPr>
          <w:rFonts w:cs="Arial"/>
        </w:rPr>
      </w:pPr>
      <w:r w:rsidRPr="003F5D69">
        <w:rPr>
          <w:rFonts w:cs="Arial"/>
        </w:rPr>
        <w:t xml:space="preserve">3 Demonstrate ability to place balloon tamponade for acute gastrointestinal bleeding </w:t>
      </w:r>
    </w:p>
    <w:p w:rsidRPr="003F5D69" w:rsidP="006A623D">
      <w:pPr>
        <w:spacing w:line="240" w:lineRule="auto"/>
        <w:rPr>
          <w:rFonts w:cs="Arial"/>
        </w:rPr>
      </w:pPr>
      <w:r w:rsidRPr="003F5D69">
        <w:rPr>
          <w:rFonts w:cs="Arial"/>
        </w:rPr>
        <w:t xml:space="preserve">4 Perform comprehensive care in critically ill patients with simulated mannequin scenario </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Icu</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Connie Markel, 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Leeah Sloan, PA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 Tirgari,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Evangelista,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Daniela Marson,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Kahn,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Brooks,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Danielle J. Bastien, DNP, Nurse Practitioner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 Barnes,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Alyssa Fulton,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Tiana Stinnett, PA-C, M.P.A.S.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- 03/11/2024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4.00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E50B33">
        <w:rPr>
          <w:rFonts w:cs="Segoe UI"/>
          <w:color w:val="000000"/>
          <w:sz w:val="20"/>
          <w:szCs w:val="20"/>
          <w:shd w:val="clear" w:color="auto" w:fill="FFFFFF"/>
        </w:rPr>
        <w:t>Rebecca Kahn at rkahn1@hfhs.org</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Rebecca Kahn at rkahn1@hfhs.org</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instrText>Rebecca Kahn at rkahn1@hfhs.org</w:instrText>
      </w:r>
      <w:r w:rsidRPr="0028578E">
        <w:rPr>
          <w:rFonts w:cs="Arial"/>
          <w:sz w:val="20"/>
          <w:szCs w:val="20"/>
        </w:rPr>
        <w:instrText>." ""</w:instrText>
      </w:r>
      <w:r w:rsidRPr="0028578E">
        <w:rPr>
          <w:rFonts w:cs="Arial"/>
          <w:sz w:val="20"/>
          <w:szCs w:val="20"/>
        </w:rPr>
        <w:fldChar w:fldCharType="separate"/>
      </w:r>
      <w:r w:rsidRPr="0028578E">
        <w:rPr>
          <w:rFonts w:cs="Arial"/>
          <w:sz w:val="20"/>
          <w:szCs w:val="20"/>
        </w:rPr>
        <w:t xml:space="preserve">If you have questions, please email </w:t>
      </w:r>
      <w:r w:rsidRPr="0028578E">
        <w:rPr>
          <w:rFonts w:cs="Arial"/>
          <w:sz w:val="20"/>
          <w:szCs w:val="20"/>
        </w:rPr>
        <w:t>Rebecca Kahn at rkahn1@hfhs.org</w:t>
      </w:r>
      <w:r w:rsidRPr="0028578E">
        <w:rPr>
          <w:rFonts w:cs="Arial"/>
          <w:sz w:val="20"/>
          <w:szCs w:val="20"/>
        </w:rPr>
        <w:t>.</w:t>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