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4th Annual Pancreatic Cancer Center Symposium 2024</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11/15/2024 8:00 AM</w:t>
      </w:r>
      <w:r w:rsidRPr="003F5D69" w:rsidR="00FE207D">
        <w:rPr>
          <w:rFonts w:cs="Arial"/>
          <w:b/>
          <w:noProof/>
          <w:sz w:val="28"/>
          <w:szCs w:val="28"/>
        </w:rPr>
        <w:t xml:space="preserve"> </w:t>
      </w:r>
      <w:r w:rsidRPr="003F5D69">
        <w:rPr>
          <w:rFonts w:cs="Arial"/>
          <w:b/>
          <w:noProof/>
          <w:sz w:val="28"/>
          <w:szCs w:val="28"/>
        </w:rPr>
        <w:t>Other</w:t>
      </w:r>
    </w:p>
    <w:p w:rsidR="00B635C4" w:rsidRPr="003F5D69">
      <w:pPr>
        <w:bidi w:val="0"/>
        <w:spacing w:after="280" w:afterAutospacing="1"/>
        <w:rPr>
          <w:rFonts w:cs="Arial"/>
          <w:sz w:val="24"/>
        </w:rPr>
      </w:pPr>
      <w:r>
        <w:rPr>
          <w:rtl w:val="0"/>
        </w:rPr>
        <w:t>The Pancreatic Cancer Center hosts national leaders in the field to report on the latest in early detection, treatment and translational research. Please join us at the Industry Innovation Center - 461 Burroughs St, Detroit, MI 48202</w:t>
      </w:r>
    </w:p>
    <w:p>
      <w:pPr>
        <w:bidi w:val="0"/>
        <w:spacing w:after="280" w:afterAutospacing="1"/>
        <w:rPr>
          <w:rtl w:val="0"/>
        </w:rPr>
      </w:pPr>
      <w:r>
        <w:rPr>
          <w:rtl w:val="0"/>
        </w:rPr>
        <w:t> </w:t>
      </w:r>
    </w:p>
    <w:p w:rsidRPr="003F5D69">
      <w:pPr>
        <w:bidi w:val="0"/>
        <w:spacing w:after="280" w:afterAutospacing="1"/>
        <w:rPr>
          <w:rFonts w:cs="Arial"/>
        </w:rPr>
      </w:pP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Have a better understanding of state of the art research in the pancreatic cancer field.</w:t>
      </w:r>
    </w:p>
    <w:p w:rsidRPr="003F5D69" w:rsidP="006A623D">
      <w:pPr>
        <w:spacing w:line="240" w:lineRule="auto"/>
        <w:rPr>
          <w:rFonts w:cs="Arial"/>
        </w:rPr>
      </w:pPr>
      <w:r w:rsidRPr="003F5D69">
        <w:rPr>
          <w:rFonts w:cs="Arial"/>
        </w:rPr>
        <w:t>2 Explain the importance of immune and tumor microenvironmental factors in the development, progression, and outcomes.</w:t>
      </w:r>
    </w:p>
    <w:p w:rsidRPr="003F5D69" w:rsidP="006A623D">
      <w:pPr>
        <w:spacing w:line="240" w:lineRule="auto"/>
        <w:rPr>
          <w:rFonts w:cs="Arial"/>
        </w:rPr>
      </w:pPr>
      <w:r w:rsidRPr="003F5D69">
        <w:rPr>
          <w:rFonts w:cs="Arial"/>
        </w:rPr>
        <w:t>3 Understand the importance of translational research in developing new treatments and improving patient outcomes.</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rPr>
        <w:t>Surgery, Hematology / Oncology</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Julie Clark,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Howard Crawford,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Alyssa Smith,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Eric Pointer, Sr Sr.,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Ralph Francescone,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Allison M Wombwell,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Taylor Westrick,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Cosimo Commisso,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Eileen S Carpenter,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support-Cornerstone Pharmaceuticals (Relationship has ended) - 06/04/2024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Kyoung Lee,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Dannielle Engle,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Honoraria-CSHL (Relationship has ended)|Honoraria-AGA (Relationship has ended)|Honoraria-CAPER (Relationship has ended) - 08/26/2024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Florencia McAllister,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SAB member-Neologics bio LLC - 09/25/2024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Andrew M Waters,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Christopher Halbrook,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DeNardo,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support-BMS|Grant or research support-Pfizer (Relationship has ended) - 10/18/2024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Mara Sherman,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- 10/04/2024</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5.50</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5.50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instrText>5.50</w:instrText>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p>
    <w:p w:rsidRPr="00DC74F2" w:rsidP="00A76840">
      <w:pPr>
        <w:spacing w:line="240" w:lineRule="auto"/>
        <w:rPr>
          <w:rFonts w:cs="Arial"/>
          <w:sz w:val="20"/>
          <w:szCs w:val="20"/>
        </w:rPr>
      </w:pPr>
      <w:r w:rsidRPr="00DC74F2">
        <w:rPr>
          <w:rFonts w:cs="Arial"/>
          <w:sz w:val="20"/>
          <w:szCs w:val="20"/>
        </w:rPr>
        <w:t xml:space="preserve">ABIM MOC Part 2: Successful completion of this CME activity, which includes participation in the evaluation component, enables the participant to earn up to </w:t>
      </w:r>
      <w:r w:rsidRPr="00DC74F2">
        <w:rPr>
          <w:rFonts w:cs="Arial"/>
          <w:sz w:val="20"/>
          <w:szCs w:val="20"/>
        </w:rPr>
        <w:t>5.50</w:t>
      </w:r>
      <w:r w:rsidRPr="00DC74F2">
        <w:rPr>
          <w:rFonts w:cs="Arial"/>
          <w:sz w:val="20"/>
          <w:szCs w:val="20"/>
        </w:rPr>
        <w:t xml:space="preserve"> MOC points in the American Board of Internal Medicine’s (ABIM) Maintenance of Certification (MOC) program. It is the CME activity provider’s responsibility to submit participant completion information to ACCME for the purpose of granting ABIM MOC credit.</w:t>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5.50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p>
    <w:p w:rsidRPr="00DC74F2" w:rsidP="00A76840">
      <w:pPr>
        <w:spacing w:line="240" w:lineRule="auto"/>
        <w:rPr>
          <w:rFonts w:cs="Arial"/>
          <w:sz w:val="20"/>
          <w:szCs w:val="20"/>
        </w:rPr>
      </w:pPr>
      <w:r w:rsidRPr="00DC74F2">
        <w:rPr>
          <w:rFonts w:cs="Arial"/>
          <w:sz w:val="20"/>
          <w:szCs w:val="20"/>
        </w:rPr>
        <w:t>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w:t>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fldChar w:fldCharType="begin"/>
      </w:r>
      <w:r w:rsidRPr="0028578E">
        <w:rPr>
          <w:rFonts w:cs="Arial"/>
          <w:sz w:val="20"/>
          <w:szCs w:val="20"/>
        </w:rPr>
        <w:instrText xml:space="preserve"> MERGEFIELD </w:instrText>
      </w:r>
      <w:r w:rsidR="007969BD">
        <w:rPr>
          <w:rFonts w:cs="Arial"/>
          <w:sz w:val="20"/>
          <w:szCs w:val="20"/>
        </w:rPr>
        <w:instrText>CoordinatorStatement</w:instrText>
      </w:r>
      <w:r w:rsidRPr="0028578E">
        <w:rPr>
          <w:rFonts w:cs="Arial"/>
          <w:sz w:val="20"/>
          <w:szCs w:val="20"/>
        </w:rPr>
        <w:instrText xml:space="preserve"> </w:instrText>
      </w:r>
      <w:r w:rsidRPr="0028578E">
        <w:rPr>
          <w:rFonts w:cs="Arial"/>
          <w:sz w:val="20"/>
          <w:szCs w:val="20"/>
        </w:rPr>
        <w:fldChar w:fldCharType="separate"/>
      </w:r>
      <w:r w:rsidR="007969BD">
        <w:rPr>
          <w:rFonts w:cs="Arial"/>
          <w:noProof/>
          <w:sz w:val="20"/>
          <w:szCs w:val="20"/>
        </w:rPr>
        <w:instrText>«CoordinatorStatement»</w:instrText>
      </w:r>
      <w:r w:rsidRPr="0028578E">
        <w:rPr>
          <w:rFonts w:cs="Arial"/>
          <w:sz w:val="20"/>
          <w:szCs w:val="20"/>
        </w:rPr>
        <w:fldChar w:fldCharType="end"/>
      </w:r>
      <w:r w:rsidRPr="0028578E">
        <w:rPr>
          <w:rFonts w:cs="Arial"/>
          <w:sz w:val="20"/>
          <w:szCs w:val="20"/>
        </w:rPr>
        <w:instrText>." ""</w:instrText>
      </w:r>
      <w:r w:rsidRPr="0028578E">
        <w:rPr>
          <w:rFonts w:cs="Arial"/>
          <w:sz w:val="20"/>
          <w:szCs w:val="20"/>
        </w:rPr>
        <w:fldChar w:fldCharType="separate"/>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