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Henry Ford Health Sepsis Symposium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09/13/2024 8:00 AM</w:t>
      </w:r>
      <w:r w:rsidRPr="003F5D69" w:rsidR="00FE207D">
        <w:rPr>
          <w:rFonts w:cs="Arial"/>
          <w:b/>
          <w:noProof/>
          <w:sz w:val="28"/>
          <w:szCs w:val="28"/>
        </w:rPr>
        <w:t xml:space="preserve"> </w:t>
      </w:r>
      <w:r w:rsidRPr="003F5D69">
        <w:rPr>
          <w:rFonts w:cs="Arial"/>
          <w:b/>
          <w:noProof/>
          <w:sz w:val="28"/>
          <w:szCs w:val="28"/>
        </w:rPr>
        <w:t>Other</w:t>
      </w:r>
    </w:p>
    <w:p w:rsidR="00B635C4" w:rsidRPr="003F5D69" w:rsidP="006A623D">
      <w:pPr>
        <w:spacing w:line="240" w:lineRule="auto"/>
        <w:rPr>
          <w:rFonts w:cs="Arial"/>
          <w:sz w:val="24"/>
        </w:rPr>
      </w:pPr>
      <w:r>
        <w:rPr>
          <w:rtl w:val="0"/>
        </w:rPr>
        <w:t>Overview: The Henry Ford Health System Sepsis Program was established in 2021 building upon the longstanding legacy established through the work of Dr. Emanuel Rivers and the Department of Emergency Medicine at Henry Ford Hospital. Dr. Rivers’ landmark early goal directed therapy (EGDT) trial conducted at the Henry Ford Hospital Department of Emergency Medicine (DEM), established the driving principles of modern sepsis care through a bundled approach. The remarkable outcomes of this trial and the significant impact on mortality, serve as the launchpad for the publication of the surviving sepsis campaign, various policies, protocols and laws. These principles further provided the foundation for the National Quality Forum (NQF) measure #0500 which is the basis for the CMS SEP-1 sepsis bundles. The international influence Henry Ford Hospital has had regarding the delivery of early sepsis care cannot be understated and has led to a significant number of lives saved over the last 3 decades. The Henry Ford Health Sepsis Program strives to continue this legacy. Our vision includes promoting awareness and education on sepsis related best practices that impact patient outcomes. The 2nd annual Sepsis Symposium focuses on key topics related to various aspects of sepsis care. The goal of the conference is to summarize best practices in sepsis and summarize the principles of building a clinical quality sepsis program. We have an exciting line up of expert to discuss hot topics in sepsis in 2024. We are also privileged to be able to hear from sepsis survivors as part of a fascinating sepsis survivors panel session. The conference (8am - 4pm) will feature topics related to: Building a clinical quality program for sepsis Best practices for sepsis fluid resuscitation and de-resuscitation The interplay of sepsis and other organs such as the heart and the kidney The future of sepsis in the era of machine learning Maternal sepsis Life after sepsis Target audience: Critical care, emergency medicine, hospitalists, internal medicine physicians, infectious disease specialists, Advanced Practice Providers (APPs), nurses, respiratory therapists, other healthcare professionals, residents, fellows, and medical students involved in sepsis management and care. Learning objectives: • Summarize the principles of building a clinical quality program for sepsis • Outline best practices in use of fluids in sepsis • Summarize the relationship of sepsis, the heart and the kidney • Recognize the impact of maternal sepsis on maternal infant mortality and morbidity • Evaluate the impact of sepsis for patients • Understand resources available to manage prevention and post sepsis care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Summarize the principles of building a clinical quality program for sepsis</w:t>
      </w:r>
    </w:p>
    <w:p w:rsidRPr="003F5D69" w:rsidP="006A623D">
      <w:pPr>
        <w:spacing w:line="240" w:lineRule="auto"/>
        <w:rPr>
          <w:rFonts w:cs="Arial"/>
        </w:rPr>
      </w:pPr>
      <w:r w:rsidRPr="003F5D69">
        <w:rPr>
          <w:rFonts w:cs="Arial"/>
        </w:rPr>
        <w:t xml:space="preserve">2 Outline best practices in use of fluids in sepsis </w:t>
      </w:r>
    </w:p>
    <w:p w:rsidRPr="003F5D69" w:rsidP="006A623D">
      <w:pPr>
        <w:spacing w:line="240" w:lineRule="auto"/>
        <w:rPr>
          <w:rFonts w:cs="Arial"/>
        </w:rPr>
      </w:pPr>
      <w:r w:rsidRPr="003F5D69">
        <w:rPr>
          <w:rFonts w:cs="Arial"/>
        </w:rPr>
        <w:t>3 Summarize the relationship of sepsis, the heart and the kidney</w:t>
      </w:r>
    </w:p>
    <w:p w:rsidRPr="003F5D69" w:rsidP="006A623D">
      <w:pPr>
        <w:spacing w:line="240" w:lineRule="auto"/>
        <w:rPr>
          <w:rFonts w:cs="Arial"/>
        </w:rPr>
      </w:pPr>
      <w:r w:rsidRPr="003F5D69">
        <w:rPr>
          <w:rFonts w:cs="Arial"/>
        </w:rPr>
        <w:t xml:space="preserve">4 Recognize the impact of maternal sepsis on maternal infant mortality and morbidity </w:t>
      </w:r>
    </w:p>
    <w:p w:rsidRPr="003F5D69" w:rsidP="006A623D">
      <w:pPr>
        <w:spacing w:line="240" w:lineRule="auto"/>
        <w:rPr>
          <w:rFonts w:cs="Arial"/>
        </w:rPr>
      </w:pPr>
      <w:r w:rsidRPr="003F5D69">
        <w:rPr>
          <w:rFonts w:cs="Arial"/>
        </w:rPr>
        <w:t>5 Evaluate the impact of sepsis for patients</w:t>
      </w:r>
    </w:p>
    <w:p w:rsidRPr="003F5D69" w:rsidP="006A623D">
      <w:pPr>
        <w:spacing w:line="240" w:lineRule="auto"/>
        <w:rPr>
          <w:rFonts w:cs="Arial"/>
        </w:rPr>
      </w:pPr>
      <w:r w:rsidRPr="003F5D69">
        <w:rPr>
          <w:rFonts w:cs="Arial"/>
        </w:rPr>
        <w:t>6 Understand resources available to manage prevention and post sepsis care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Anesthesia Critical Care, Emergency Medicine/Internal Medicine/Critical Care, Critical Care Medicine, Infectious Diseases, Icu</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Namita Jayaprakash, MD, MRCEM;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support-Abbott - 05/20/2024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Brandie Devos, RN,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Junior Uduman,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Condon, MSN, CNM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Fee-MI AIM Obstetric Sepsis Collaborative Mentor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Emanuel Rivers, MD, Senior Staff in Emergency Medicine and Surgery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Watson, MD, FACP, SFHM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Matz,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 Angela S Pitts, MD, Maternal Fetal Medicine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Clark,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Jean Kokochak,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Hallie Prescott,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Bennett,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Levy,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M Baffo,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Aboufawaz,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6.25</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6.25</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6.25</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6.25</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