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Annual Henry Ford Cancer Multi-Disciplinary Breast Oncology Symposium</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09/27/2024 7:00 AM</w:t>
      </w:r>
      <w:r w:rsidRPr="003F5D69" w:rsidR="00FE207D">
        <w:rPr>
          <w:rFonts w:cs="Arial"/>
          <w:b/>
          <w:noProof/>
          <w:sz w:val="28"/>
          <w:szCs w:val="28"/>
        </w:rPr>
        <w:t xml:space="preserve"> </w:t>
      </w:r>
      <w:r w:rsidRPr="003F5D69">
        <w:rPr>
          <w:rFonts w:cs="Arial"/>
          <w:b/>
          <w:noProof/>
          <w:sz w:val="28"/>
          <w:szCs w:val="28"/>
        </w:rPr>
        <w:t>Ford House - 1100 Lake Shore Rd</w:t>
      </w:r>
    </w:p>
    <w:p w:rsidR="00B635C4" w:rsidRPr="003F5D69" w:rsidP="006A623D">
      <w:pPr>
        <w:spacing w:line="240" w:lineRule="auto"/>
        <w:rPr>
          <w:rFonts w:cs="Arial"/>
          <w:sz w:val="24"/>
        </w:rPr>
      </w:pPr>
      <w:r>
        <w:rPr>
          <w:rtl w:val="0"/>
        </w:rPr>
        <w:t xml:space="preserve">Multidisciplinary teaching to improve awareness of breast cancer, including imaging, managing High Risk Patients with Negative genetics, Vascularized Lymph Node Transfer and Integration of AI as well as New Techniques for Screening and Utilization of CEM. </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1 Review Proton Therapy application and how it can be utilized for Breast Cancer patients</w:t>
      </w:r>
    </w:p>
    <w:p w:rsidRPr="003F5D69" w:rsidP="006A623D">
      <w:pPr>
        <w:spacing w:line="240" w:lineRule="auto"/>
        <w:rPr>
          <w:rFonts w:cs="Arial"/>
        </w:rPr>
      </w:pPr>
      <w:r w:rsidRPr="003F5D69">
        <w:rPr>
          <w:rFonts w:cs="Arial"/>
        </w:rPr>
        <w:t>2 Identify what financial resources are available within the System to assist Breast Cancer patients</w:t>
      </w:r>
    </w:p>
    <w:p w:rsidRPr="003F5D69" w:rsidP="006A623D">
      <w:pPr>
        <w:spacing w:line="240" w:lineRule="auto"/>
        <w:rPr>
          <w:rFonts w:cs="Arial"/>
        </w:rPr>
      </w:pPr>
      <w:r w:rsidRPr="003F5D69">
        <w:rPr>
          <w:rFonts w:cs="Arial"/>
        </w:rPr>
        <w:t>3 Identify what risks, screening and treatment to consider when treating transgender and the gender minority population</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rPr>
        <w:t>Radiation Oncology, Surgery, Multidisciplinary Breast, Medical Oncology, Primary Care</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 David Nathanson,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Cassandra Mills, BBA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Monique Swain,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- 06/05/2024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Jessica Bensenhaver,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Anna Lehrberg,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Dennis Kerrigan, PhD, Program Director - HFHS Weight Management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support-Kento Health Inc. - 07/29/2024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Stacy Ries,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Kellie Martens,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- 11/01/2023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Madeline Stamper, SW, LMSW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Michelle Clark,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Harmesh Naik,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Joshua Dilworth,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kongkrit chaiyasate,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- 07/27/2024</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7.50</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7.50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instrText>7.50</w:instrText>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p>
    <w:p w:rsidRPr="00DC74F2" w:rsidP="00A76840">
      <w:pPr>
        <w:spacing w:line="240" w:lineRule="auto"/>
        <w:rPr>
          <w:rFonts w:cs="Arial"/>
          <w:sz w:val="20"/>
          <w:szCs w:val="20"/>
        </w:rPr>
      </w:pPr>
      <w:r w:rsidRPr="00DC74F2">
        <w:rPr>
          <w:rFonts w:cs="Arial"/>
          <w:sz w:val="20"/>
          <w:szCs w:val="20"/>
        </w:rPr>
        <w:t xml:space="preserve">ABIM MOC Part 2: Successful completion of this CME activity, which includes participation in the evaluation component, enables the participant to earn up to </w:t>
      </w:r>
      <w:r w:rsidRPr="00DC74F2">
        <w:rPr>
          <w:rFonts w:cs="Arial"/>
          <w:sz w:val="20"/>
          <w:szCs w:val="20"/>
        </w:rPr>
        <w:t>7.50</w:t>
      </w:r>
      <w:r w:rsidRPr="00DC74F2">
        <w:rPr>
          <w:rFonts w:cs="Arial"/>
          <w:sz w:val="20"/>
          <w:szCs w:val="20"/>
        </w:rPr>
        <w:t xml:space="preserve"> MOC points in the American Board of Internal Medicine’s (ABIM) Maintenance of Certification (MOC) program. It is the CME activity provider’s responsibility to submit participant completion information to ACCME for the purpose of granting ABIM MOC credit.</w:t>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7.50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p>
    <w:p w:rsidRPr="00DC74F2" w:rsidP="00A76840">
      <w:pPr>
        <w:spacing w:line="240" w:lineRule="auto"/>
        <w:rPr>
          <w:rFonts w:cs="Arial"/>
          <w:sz w:val="20"/>
          <w:szCs w:val="20"/>
        </w:rPr>
      </w:pPr>
      <w:r w:rsidRPr="00DC74F2">
        <w:rPr>
          <w:rFonts w:cs="Arial"/>
          <w:sz w:val="20"/>
          <w:szCs w:val="20"/>
        </w:rPr>
        <w:t>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w:t>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fldChar w:fldCharType="begin"/>
      </w:r>
      <w:r w:rsidRPr="0028578E">
        <w:rPr>
          <w:rFonts w:cs="Arial"/>
          <w:sz w:val="20"/>
          <w:szCs w:val="20"/>
        </w:rPr>
        <w:instrText xml:space="preserve"> MERGEFIELD </w:instrText>
      </w:r>
      <w:r w:rsidR="007969BD">
        <w:rPr>
          <w:rFonts w:cs="Arial"/>
          <w:sz w:val="20"/>
          <w:szCs w:val="20"/>
        </w:rPr>
        <w:instrText>CoordinatorStatement</w:instrText>
      </w:r>
      <w:r w:rsidRPr="0028578E">
        <w:rPr>
          <w:rFonts w:cs="Arial"/>
          <w:sz w:val="20"/>
          <w:szCs w:val="20"/>
        </w:rPr>
        <w:instrText xml:space="preserve"> </w:instrText>
      </w:r>
      <w:r w:rsidRPr="0028578E">
        <w:rPr>
          <w:rFonts w:cs="Arial"/>
          <w:sz w:val="20"/>
          <w:szCs w:val="20"/>
        </w:rPr>
        <w:fldChar w:fldCharType="separate"/>
      </w:r>
      <w:r w:rsidR="007969BD">
        <w:rPr>
          <w:rFonts w:cs="Arial"/>
          <w:noProof/>
          <w:sz w:val="20"/>
          <w:szCs w:val="20"/>
        </w:rPr>
        <w:instrText>«CoordinatorStatement»</w:instrText>
      </w:r>
      <w:r w:rsidRPr="0028578E">
        <w:rPr>
          <w:rFonts w:cs="Arial"/>
          <w:sz w:val="20"/>
          <w:szCs w:val="20"/>
        </w:rPr>
        <w:fldChar w:fldCharType="end"/>
      </w:r>
      <w:r w:rsidRPr="0028578E">
        <w:rPr>
          <w:rFonts w:cs="Arial"/>
          <w:sz w:val="20"/>
          <w:szCs w:val="20"/>
        </w:rPr>
        <w:instrText>." ""</w:instrText>
      </w:r>
      <w:r w:rsidRPr="0028578E">
        <w:rPr>
          <w:rFonts w:cs="Arial"/>
          <w:sz w:val="20"/>
          <w:szCs w:val="20"/>
        </w:rPr>
        <w:fldChar w:fldCharType="separate"/>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