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2nd Annual Henry Ford Cancer Thoracic Multidisciplinary Symposium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11/22/2024 7:00 AM</w:t>
      </w:r>
      <w:r w:rsidRPr="003F5D69" w:rsidR="00FE207D">
        <w:rPr>
          <w:rFonts w:cs="Arial"/>
          <w:b/>
          <w:noProof/>
          <w:sz w:val="28"/>
          <w:szCs w:val="28"/>
        </w:rPr>
        <w:t xml:space="preserve"> </w:t>
      </w:r>
      <w:r w:rsidRPr="003F5D69">
        <w:rPr>
          <w:rFonts w:cs="Arial"/>
          <w:b/>
          <w:noProof/>
          <w:sz w:val="28"/>
          <w:szCs w:val="28"/>
        </w:rPr>
        <w:t>The Henry Hotel</w:t>
      </w:r>
    </w:p>
    <w:p w:rsidR="00B635C4" w:rsidRPr="003F5D69" w:rsidP="006A623D">
      <w:pPr>
        <w:spacing w:line="240" w:lineRule="auto"/>
        <w:rPr>
          <w:rFonts w:cs="Arial"/>
          <w:sz w:val="24"/>
        </w:rPr>
      </w:pPr>
      <w:r>
        <w:rPr>
          <w:rtl w:val="0"/>
        </w:rPr>
        <w:t>Thoracic symposium that provides the latest information to the management and diagnosis of lung cancer in a multidisciplinary format. Update clinical teams on the importance of biomarker testing in NSCLC. Update the teams on surgical management of NSCLC. Update the clinical teams on the role of radiation therapy in the management of NSCLC. Update the clinical teams on new advances and medications available for the treatment of NSCLC. Lastly, they will have a chance to attend a talk by a patient advocate on the patients' perspective on lung cancer treatment and research.</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be up-to-date on the recent advances in the management of NSCLC.</w:t>
      </w:r>
    </w:p>
    <w:p w:rsidRPr="003F5D69" w:rsidP="006A623D">
      <w:pPr>
        <w:spacing w:line="240" w:lineRule="auto"/>
        <w:rPr>
          <w:rFonts w:cs="Arial"/>
        </w:rPr>
      </w:pPr>
      <w:r w:rsidRPr="003F5D69">
        <w:rPr>
          <w:rFonts w:cs="Arial"/>
        </w:rPr>
        <w:t>2 To be able to apply these advances in the treatment of their patients and in a multidisciplinary format.</w:t>
      </w:r>
    </w:p>
    <w:p w:rsidRPr="003F5D69" w:rsidP="006A623D">
      <w:pPr>
        <w:spacing w:line="240" w:lineRule="auto"/>
        <w:rPr>
          <w:rFonts w:cs="Arial"/>
        </w:rPr>
      </w:pPr>
      <w:r w:rsidRPr="003F5D69">
        <w:rPr>
          <w:rFonts w:cs="Arial"/>
        </w:rPr>
        <w:t>3 To understand the role of each specialty involved in the management of this disease.</w:t>
      </w:r>
    </w:p>
    <w:p w:rsidRPr="003F5D69" w:rsidP="006A623D">
      <w:pPr>
        <w:spacing w:line="240" w:lineRule="auto"/>
        <w:rPr>
          <w:rFonts w:cs="Arial"/>
        </w:rPr>
      </w:pPr>
      <w:r w:rsidRPr="003F5D69">
        <w:rPr>
          <w:rFonts w:cs="Arial"/>
        </w:rPr>
        <w:t>4 To understand the role of multidisciplinary teams in the management of NSCLC.</w:t>
      </w:r>
    </w:p>
    <w:p w:rsidRPr="003F5D69" w:rsidP="006A623D">
      <w:pPr>
        <w:spacing w:line="240" w:lineRule="auto"/>
        <w:rPr>
          <w:rFonts w:cs="Arial"/>
        </w:rPr>
      </w:pPr>
      <w:r w:rsidRPr="003F5D69">
        <w:rPr>
          <w:rFonts w:cs="Arial"/>
        </w:rPr>
        <w:t>5 To understand the importance of biomarker testing in NSCLC.</w:t>
      </w:r>
    </w:p>
    <w:p w:rsidRPr="003F5D69" w:rsidP="006A623D">
      <w:pPr>
        <w:spacing w:line="240" w:lineRule="auto"/>
        <w:rPr>
          <w:rFonts w:cs="Arial"/>
        </w:rPr>
      </w:pPr>
      <w:r w:rsidRPr="003F5D69">
        <w:rPr>
          <w:rFonts w:cs="Arial"/>
        </w:rPr>
        <w:t>6 To understand patients' perspectives on treatment and research of NSCLC.</w:t>
      </w:r>
    </w:p>
    <w:p w:rsidRPr="003F5D69" w:rsidP="006A623D">
      <w:pPr>
        <w:spacing w:line="240" w:lineRule="auto"/>
        <w:rPr>
          <w:rFonts w:cs="Arial"/>
        </w:rPr>
      </w:pPr>
      <w:r w:rsidRPr="003F5D69">
        <w:rPr>
          <w:rFonts w:cs="Arial"/>
        </w:rPr>
        <w:t>7 To understand the role of lung cancer screening in the early detection of NSCLC.</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Hematology /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Popoff,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 - 03/25/2024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Shirish Gadgeel,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Fee-Takeda, Janssen, Daichii, Lilly, Novartis, Merck, Arcus, Esai, Gilead, GSK (Relationship has ended)|Membership on Advisory Committees or Review Panels, Board Membership, etc.-Astrazeneca|Advisor-AbbVie (Relationship has ended)|Advisor-Amgen (Relationship has ended)|Advisor-Bayer (Relationship has ended)|Advisor-Genentech (Relationship has ended)|Advisor-Pfizer (Relationship has ended)|Advisor-BMS (Relationship has ended)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Avi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Fee-PulmonX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Fawzi Abu Rous,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Honoraria-MJH life sciences (Relationship has ended)|Honoraria-IntrinsiQ Specialty Solutions (Relationship has ended)|Membership on Advisory Committees or Review Panels, Board Membership, etc.-Astrazeneca (Relationship has ended)|Advisor-Genentech|Grant or research support-ASCO YIA - 02/08/2024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Tressa Cuschieri,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Khaled Adil,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Radhika Gutta, DO-Fellow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Terri Conneran, BS, Oncology Survivor KRAS Lung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Advisor-BMS|Advisor-Genentech|Consulting Fee-Pfizer|Consulting Fee-Astrazeneca (Relationship has ended)|Consulting Fee-Amgen|Honoraria-Merck (Relationship has ended)|Consulting Fee-Loxo, Lilly (Relationship has ended)|Honoraria-Boehringer Ingelheim (Relationship has ended)|Honoraria-Frontier Medicine (Relationship has ended)|Consulting Fee-Revolution Medicines|Honoraria-Qiagen (Relationship has ended)|Advisor-Astellas (Relationship has ended)|Consulting Fee-Exact Sciences (Relationship has ended)|Advisor-Fortrea (Relationship has ended)|Advisor-Guardant (Relationship has ended)|Advisor-Astrazeneca (Relationship has ended)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Nasser Hanna,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support-BMS|Grant or research support-Merck|Grant or research support-Genentech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Yasir Elamin,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Fee-BMS (Relationship has ended)|Consulting Fee-Taiho Pharmaceutical|Consulting Fee-Astrazeneca (Relationship has ended)|Consulting Fee-Takeda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Awad,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C Arbour,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Advisor-Amgen (Relationship has ended)|Advisor-Revolution Medicines (Relationship has ended)|Advisor-Astrazeneca (Relationship has ended)|Advisor-Novartis (Relationship has ended)|Advisor-Lilly (Relationship has ended)|Advisor-Merck (Relationship has ended)|Advisor-BMS (Relationship has ended)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 Qin,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Fee-Genentech (Relationship has ended)|Consulting Fee-Pfizer (Relationship has ended)|Consulting Fee-Janssen|Honoraria-OncLive (Relationship has ended)|Consulting Fee-Regeneron (Relationship has ended)|Consulting Fee-Summit Therapeutics (Relationship has ended)|Consulting Fee-Strata Oncology (Relationship has ended) - 10/11/2024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6.00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Tressa Cuschieri at TCUSCHI1@hfhs.org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Tressa Cuschieri at TCUSCHI1@hfhs.org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Tressa Cuschieri at TCUSCHI1@hfhs.org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Tressa Cuschieri at TCUSCHI1@hfhs.org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