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Chest Tube Insertion and Management Course (2024)</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11/15/2024 7:45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There is a video to watch prior to the course which is 30 minutes in length to prepare. During the live activity there will be lectures on chest tubes, lung ultrasounds, and chest tube management and insertion. Following lectures, there will be a live skills workshop with hands-on teaching of insertion of chest tubes, ultrasound, and management.</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Obtain knowledge to identify patients who are in need of chest tube insertion</w:t>
      </w:r>
    </w:p>
    <w:p w:rsidRPr="003F5D69" w:rsidP="006A623D">
      <w:pPr>
        <w:spacing w:line="240" w:lineRule="auto"/>
        <w:rPr>
          <w:rFonts w:cs="Arial"/>
        </w:rPr>
      </w:pPr>
      <w:r w:rsidRPr="003F5D69">
        <w:rPr>
          <w:rFonts w:cs="Arial"/>
        </w:rPr>
        <w:t>2 Obtain ultrasound skills to assess patient for insertion and guide procedure</w:t>
      </w:r>
    </w:p>
    <w:p w:rsidRPr="003F5D69" w:rsidP="006A623D">
      <w:pPr>
        <w:spacing w:line="240" w:lineRule="auto"/>
        <w:rPr>
          <w:rFonts w:cs="Arial"/>
        </w:rPr>
      </w:pPr>
      <w:r w:rsidRPr="003F5D69">
        <w:rPr>
          <w:rFonts w:cs="Arial"/>
        </w:rPr>
        <w:t xml:space="preserve">3 Learn to insert chest tube </w:t>
      </w:r>
    </w:p>
    <w:p w:rsidRPr="003F5D69" w:rsidP="006A623D">
      <w:pPr>
        <w:spacing w:line="240" w:lineRule="auto"/>
        <w:rPr>
          <w:rFonts w:cs="Arial"/>
        </w:rPr>
      </w:pPr>
      <w:r w:rsidRPr="003F5D69">
        <w:rPr>
          <w:rFonts w:cs="Arial"/>
        </w:rPr>
        <w:t xml:space="preserve">4 Be able to manage patient post-procedurally and assess </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Pulmonary Disease And Critical Care Medicine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Javier Diaz-Mendoza,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Labib Debiane,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Fee-Elucent Medical - 04/08/2024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Priebe,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consultant-PulmonX - 02/26/2024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Kapadia,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J. Bastien,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- 04/16/2024</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3.50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E50B33">
        <w:rPr>
          <w:rFonts w:cs="Segoe UI"/>
          <w:color w:val="000000"/>
          <w:sz w:val="20"/>
          <w:szCs w:val="20"/>
          <w:shd w:val="clear" w:color="auto" w:fill="FFFFFF"/>
        </w:rPr>
        <w:t>Danielle Bastien at dbastie1@hfhs.org</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Danielle Bastien at dbastie1@hfhs.org</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instrText>Danielle Bastien at dbastie1@hfhs.org</w:instrText>
      </w:r>
      <w:r w:rsidRPr="0028578E">
        <w:rPr>
          <w:rFonts w:cs="Arial"/>
          <w:sz w:val="20"/>
          <w:szCs w:val="20"/>
        </w:rPr>
        <w:instrText>." ""</w:instrText>
      </w:r>
      <w:r w:rsidRPr="0028578E">
        <w:rPr>
          <w:rFonts w:cs="Arial"/>
          <w:sz w:val="20"/>
          <w:szCs w:val="20"/>
        </w:rPr>
        <w:fldChar w:fldCharType="separate"/>
      </w:r>
      <w:r w:rsidRPr="0028578E">
        <w:rPr>
          <w:rFonts w:cs="Arial"/>
          <w:sz w:val="20"/>
          <w:szCs w:val="20"/>
        </w:rPr>
        <w:t xml:space="preserve">If you have questions, please email </w:t>
      </w:r>
      <w:r w:rsidRPr="0028578E">
        <w:rPr>
          <w:rFonts w:cs="Arial"/>
          <w:sz w:val="20"/>
          <w:szCs w:val="20"/>
        </w:rPr>
        <w:t>Danielle Bastien at dbastie1@hfhs.org</w:t>
      </w:r>
      <w:r w:rsidRPr="0028578E">
        <w:rPr>
          <w:rFonts w:cs="Arial"/>
          <w:sz w:val="20"/>
          <w:szCs w:val="20"/>
        </w:rPr>
        <w:t>.</w:t>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