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Updates in Ophthalmology - Annual Education Day (2025)</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05/10/2025 8:00 AM</w:t>
      </w:r>
      <w:r w:rsidRPr="003F5D69" w:rsidR="00FE207D">
        <w:rPr>
          <w:rFonts w:cs="Arial"/>
          <w:b/>
          <w:noProof/>
          <w:sz w:val="28"/>
          <w:szCs w:val="28"/>
        </w:rPr>
        <w:t xml:space="preserve"> </w:t>
      </w:r>
      <w:r w:rsidRPr="003F5D69">
        <w:rPr>
          <w:rFonts w:cs="Arial"/>
          <w:b/>
          <w:noProof/>
          <w:sz w:val="28"/>
          <w:szCs w:val="28"/>
        </w:rPr>
        <w:t>The Westin Southfield</w:t>
      </w:r>
    </w:p>
    <w:p w:rsidR="00B635C4" w:rsidRPr="003F5D69" w:rsidP="006A623D">
      <w:pPr>
        <w:spacing w:line="240" w:lineRule="auto"/>
        <w:rPr>
          <w:rFonts w:cs="Arial"/>
          <w:sz w:val="24"/>
        </w:rPr>
      </w:pPr>
      <w:r>
        <w:rPr>
          <w:rtl w:val="0"/>
        </w:rPr>
        <w:t>• The Guyton lecture subject rotates between the major subspecialties in ophthalmology (retina, cornea, oculoplastic, neuro-ophthalmology, pediatrics, uveitis, etc.) The 2025 Jack S. Guyton Memorial Lecture will be presented by Carol Sheilds, M.D. • The Sugar lecture is dedicated each year to glaucomatous disease and a leader in this field is chosen each year to participate. The 2025 H. Saul Sugar Lecture in Glaucoma will be presented by Malik Kahook, M.D. • The Philip C. Hessburg lecture is a lectureship intended to highlight the contributions of Michigan ophthalmologists to the vision care of patients worldwide. The 2025 Philip C. Hessburg lecture will be presented by Mark Juzych, MD, MHSA. • Many eye care providers find it difficult to keep up with the latest developments in ophthalmology research. As part of the annual Alumni meeting program, senior staff ophthalmologists, researchers, fellow, resident staff and alumni present the findings of investigations and research projects conducted during the past year. A portion of our program is intended to address this gap in knowledge by providing presentations on some of the most recent developments in ophthalmology research. During this portion of the program individuals will be selected to provide recent medical or surgical developments in the various sub-specialty areas of ophthalmology. Consequently, those in attendee will have the opportunity to learn about some of the most innovative accomplishments in the field. • At the conclusion of this CME activity, attendees will have gained an understanding of the latest trends in disease detection, clinical management and medical therapy. Attendees will also obtain knowledge in the latest research being conducted by the HFH Department of Ophthalmology and by HFH alumni throughout the US.</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To provide through presentations from thought leaders in Ophthalmology information that analyzes and summarizes new ideas procedures and technology so that clinicians can apply this knowledge to patient care.  To more rapidly disseminate the knowledge acquired from ophthalmic research so that clinicians have an increased awareness of this information.</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Ophthalmology</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 Baciu,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Therese Sassalos,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Roseanne Horne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Nauman Imami,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Uday Desai,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J Goldman,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Fuxiang Zhang,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Crandall,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Brooks,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Omar Ali, MD-Resident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Dhruv Sethi, MD, MBA, MPH - Resident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Bushra Rahman, MD-Resident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Malik Kahook, MD, Professor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Royalties or Patent Beneficiary-New World Medical - 01/30/2025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 Shields,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Gangadhara Sundar,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Pedro Monsalve Diaz,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Simran Soni, MD-Fellow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Hakan Demirci,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Advisor-Castle Biosceince - 05/06/2025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Nabeel Zafrullah,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Juzych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- 05/05/2025</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5.25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E50B33">
        <w:rPr>
          <w:rFonts w:cs="Segoe UI"/>
          <w:color w:val="000000"/>
          <w:sz w:val="20"/>
          <w:szCs w:val="20"/>
          <w:shd w:val="clear" w:color="auto" w:fill="FFFFFF"/>
        </w:rPr>
        <w:t>Roseanne Horne at rhorne1@hfhs.org</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Roseanne Horne at rhorne1@hfhs.org</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instrText>Roseanne Horne at rhorne1@hfhs.org</w:instrText>
      </w:r>
      <w:r w:rsidRPr="0028578E">
        <w:rPr>
          <w:rFonts w:cs="Arial"/>
          <w:sz w:val="20"/>
          <w:szCs w:val="20"/>
        </w:rPr>
        <w:instrText>." ""</w:instrText>
      </w:r>
      <w:r w:rsidRPr="0028578E">
        <w:rPr>
          <w:rFonts w:cs="Arial"/>
          <w:sz w:val="20"/>
          <w:szCs w:val="20"/>
        </w:rPr>
        <w:fldChar w:fldCharType="separate"/>
      </w:r>
      <w:r w:rsidRPr="0028578E">
        <w:rPr>
          <w:rFonts w:cs="Arial"/>
          <w:sz w:val="20"/>
          <w:szCs w:val="20"/>
        </w:rPr>
        <w:t xml:space="preserve">If you have questions, please email </w:t>
      </w:r>
      <w:r w:rsidRPr="0028578E">
        <w:rPr>
          <w:rFonts w:cs="Arial"/>
          <w:sz w:val="20"/>
          <w:szCs w:val="20"/>
        </w:rPr>
        <w:t>Roseanne Horne at rhorne1@hfhs.org</w:t>
      </w:r>
      <w:r w:rsidRPr="0028578E">
        <w:rPr>
          <w:rFonts w:cs="Arial"/>
          <w:sz w:val="20"/>
          <w:szCs w:val="20"/>
        </w:rPr>
        <w:t>.</w:t>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