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Multidisciplinary Bladder Cancer Symposium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05/16/2025 8:00 AM</w:t>
      </w:r>
      <w:r w:rsidRPr="003F5D69" w:rsidR="00FE207D">
        <w:rPr>
          <w:rFonts w:cs="Arial"/>
          <w:b/>
          <w:noProof/>
          <w:sz w:val="28"/>
          <w:szCs w:val="28"/>
        </w:rPr>
        <w:t xml:space="preserve"> </w:t>
      </w:r>
      <w:r w:rsidRPr="003F5D69">
        <w:rPr>
          <w:rFonts w:cs="Arial"/>
          <w:b/>
          <w:noProof/>
          <w:sz w:val="28"/>
          <w:szCs w:val="28"/>
        </w:rPr>
        <w:t>Westin Book Cadillac</w:t>
      </w:r>
    </w:p>
    <w:p w:rsidR="00B635C4" w:rsidRPr="003F5D69" w:rsidP="006A623D">
      <w:pPr>
        <w:spacing w:line="240" w:lineRule="auto"/>
        <w:rPr>
          <w:rFonts w:cs="Arial"/>
          <w:sz w:val="24"/>
        </w:rPr>
      </w:pPr>
      <w:r>
        <w:rPr>
          <w:rtl w:val="0"/>
        </w:rPr>
        <w:t>Our faculty will discuss disparities in diagnosis and management of bladder cancer, with regards to race, gender and other minorities. Speakers with review evidence based clinical and technical advances, promising clinical trials data, national guidelines and key controversies in the management of bladder cancer. Our keynote speaker will highlight the role of clinicians in providing expert care for bladder cancer, and identify methods in overcoming the disparities. Through leading-edge lectures, case discussion and interactive question and answer sessions, this program will provide participants with an enhanced ability to apply best treatment options into their individual cancer practices.</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 xml:space="preserve">1 Identify, recognize and understand current disparities in bladder cancer care. </w:t>
      </w:r>
    </w:p>
    <w:p w:rsidRPr="003F5D69" w:rsidP="006A623D">
      <w:pPr>
        <w:spacing w:line="240" w:lineRule="auto"/>
        <w:rPr>
          <w:rFonts w:cs="Arial"/>
        </w:rPr>
      </w:pPr>
      <w:r w:rsidRPr="003F5D69">
        <w:rPr>
          <w:rFonts w:cs="Arial"/>
        </w:rPr>
        <w:t>2 Implement a multidisciplinary approach to address these disparities in management of bladder cancer</w:t>
      </w:r>
    </w:p>
    <w:p w:rsidRPr="003F5D69" w:rsidP="006A623D">
      <w:pPr>
        <w:spacing w:line="240" w:lineRule="auto"/>
        <w:rPr>
          <w:rFonts w:cs="Arial"/>
        </w:rPr>
      </w:pPr>
      <w:r w:rsidRPr="003F5D69">
        <w:rPr>
          <w:rFonts w:cs="Arial"/>
        </w:rPr>
        <w:t xml:space="preserve">3 Develop a patient-centered approach to the management of bladder cancer </w:t>
      </w:r>
    </w:p>
    <w:p w:rsidRPr="003F5D69" w:rsidP="006A623D">
      <w:pPr>
        <w:spacing w:line="240" w:lineRule="auto"/>
        <w:rPr>
          <w:rFonts w:cs="Arial"/>
        </w:rPr>
      </w:pPr>
      <w:r w:rsidRPr="003F5D69">
        <w:rPr>
          <w:rFonts w:cs="Arial"/>
        </w:rPr>
        <w:t xml:space="preserve">4 Modify current practices to improve inclusion of diverse populations in clinical trials and novel treatments for bladder cancer. </w:t>
      </w:r>
    </w:p>
    <w:p w:rsidRPr="003F5D69" w:rsidP="006A623D">
      <w:pPr>
        <w:spacing w:line="240" w:lineRule="auto"/>
        <w:rPr>
          <w:rFonts w:cs="Arial"/>
        </w:rPr>
      </w:pPr>
      <w:r w:rsidRPr="003F5D69">
        <w:rPr>
          <w:rFonts w:cs="Arial"/>
        </w:rPr>
        <w:t>5 Apply principles of bladder cancer management to complex cases</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Internal Medicine, Radiation Oncology, Urology, Hematology / Oncology, Medical Oncology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Clara Hwang, MD, Assistant Professor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support-Seagen|Grant or research support-Taiho Pharmaceutical|Grant or research support-Exelixis|Grant or research support-Bayer|Grant or research support-AstraZeneca|Other: General Payment (Education)-Genentech (Relationship has ended)|Paid consultant-EMD Sorono (Relationship has ended)|Grant or research support-Genentech (Relationship has ended)|Grant or research support-Merck|Grant or research support-Astellas|Grant or research support-Hengrui|Grant or research support-Scholar Rock|Grant or research support-Fujifilm|Grant or research support-Adcentrx|Consulting Fee-Janssen (Relationship has ended)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Evelyn Jiagge, MD, PhD, Dr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support-Pfizer|Grant or research support-Genentech - 02/16/2025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Philip Philip,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Fee-Advisor, Speaker Beureau, |Grant or research support-Karyopharm (Relationship has ended)|Advisor-Pfizer|Advisor-Seattle Genetics|Consulting Fee-Bayer|Grant or research support-Carcept (Relationship has ended)|Honoraria-Daiichi (Relationship has ended)|Honoraria-Erytech (Relationship has ended)|Honoraria-Incyte|Honoraria-Ipsen (Relationship has ended)|Honoraria-Merck (Relationship has ended)|Honoraria-Novocure (Relationship has ended)|Grant or research support-Rafael (Relationship has ended)|Honoraria-Genetech (Relationship has ended)|Consulting Fee-Trisauls (Relationship has ended)|Advisor-Boston Pharmaceuticals (Relationship has ended)|Honoraria-Servier (Relationship has ended)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nabeel shakir,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Johar Raza,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Briar Shannon, BSN,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Honoraria-Storz (Karl Storz) (Relationship has ended) - 02/03/2025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Clayton,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Cheryl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Advisor-UroGen (Relationship has ended)|Advisor-Vessica Health|Honoraria-Boston Scientific|Grant or research support-Tsumura - 02/28/2025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Akshay Sood,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C. Marshall,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4.50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4.50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4.50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4.50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