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Treatment Updates in Demyelinating Disorders of CNS and Myasthenia Gravis (10/10/25)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10/10/2025 8:00 AM</w:t>
      </w:r>
      <w:r w:rsidRPr="003F5D69" w:rsidR="00FE207D">
        <w:rPr>
          <w:rFonts w:cs="Arial"/>
          <w:b/>
          <w:noProof/>
          <w:sz w:val="28"/>
          <w:szCs w:val="28"/>
        </w:rPr>
        <w:t xml:space="preserve"> </w:t>
      </w:r>
      <w:r w:rsidRPr="003F5D69">
        <w:rPr>
          <w:rFonts w:cs="Arial"/>
          <w:b/>
          <w:noProof/>
          <w:sz w:val="28"/>
          <w:szCs w:val="28"/>
        </w:rPr>
        <w:t>Hybrid - Gem Theatre &amp; Microsoft Teams</w:t>
      </w:r>
    </w:p>
    <w:p w:rsidR="00B635C4" w:rsidRPr="003F5D69" w:rsidP="006A623D">
      <w:pPr>
        <w:spacing w:line="240" w:lineRule="auto"/>
        <w:rPr>
          <w:rFonts w:cs="Arial"/>
          <w:sz w:val="24"/>
        </w:rPr>
      </w:pPr>
      <w:r>
        <w:rPr>
          <w:rtl w:val="0"/>
        </w:rPr>
        <w:t xml:space="preserve">The past few years have been very exciting in the multiple sclerosis ( MS), demyelinating disorders of central nervous system ( NMOSD, MOGAD) and myasthenia gravis ( MG) field. There have been quite a few new treatments approved lately for management of MS, NMOSD, MG. We have gathered some of the best experts in neurology, infection disease, hepatology, surgery and obstetrics to answer the most commonly encountered questions regarding the complex treatment management and monitoring of patients with MS, NMOSD, MG. </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Demonstrate knowledge of diagnosis criteria of multiple sclerosis and demyelinating disorders of central nervous system.</w:t>
      </w:r>
    </w:p>
    <w:p w:rsidRPr="003F5D69" w:rsidP="006A623D">
      <w:pPr>
        <w:spacing w:line="240" w:lineRule="auto"/>
        <w:rPr>
          <w:rFonts w:cs="Arial"/>
        </w:rPr>
      </w:pPr>
      <w:r w:rsidRPr="003F5D69">
        <w:rPr>
          <w:rFonts w:cs="Arial"/>
        </w:rPr>
        <w:t>2 Demonstrate knowledge of Myasthenia gravis classification and clinical assessment</w:t>
      </w:r>
    </w:p>
    <w:p w:rsidRPr="003F5D69" w:rsidP="006A623D">
      <w:pPr>
        <w:spacing w:line="240" w:lineRule="auto"/>
        <w:rPr>
          <w:rFonts w:cs="Arial"/>
        </w:rPr>
      </w:pPr>
      <w:r w:rsidRPr="003F5D69">
        <w:rPr>
          <w:rFonts w:cs="Arial"/>
        </w:rPr>
        <w:t xml:space="preserve">3 Demonstrate knowledge of new immunomodulatory and immunosuppressive treatments of MS, NMOSD, MG and monitoring requirements of each treatment </w:t>
      </w:r>
    </w:p>
    <w:p w:rsidRPr="003F5D69" w:rsidP="006A623D">
      <w:pPr>
        <w:spacing w:line="240" w:lineRule="auto"/>
        <w:rPr>
          <w:rFonts w:cs="Arial"/>
        </w:rPr>
      </w:pPr>
      <w:r w:rsidRPr="003F5D69">
        <w:rPr>
          <w:rFonts w:cs="Arial"/>
        </w:rPr>
        <w:t>4 Address and discuss with patients' treatment of MS, NMOSD, MG in pregnancy, postpartum/breastfeeding</w:t>
      </w:r>
    </w:p>
    <w:p w:rsidRPr="003F5D69" w:rsidP="006A623D">
      <w:pPr>
        <w:spacing w:line="240" w:lineRule="auto"/>
        <w:rPr>
          <w:rFonts w:cs="Arial"/>
        </w:rPr>
      </w:pPr>
      <w:r w:rsidRPr="003F5D69">
        <w:rPr>
          <w:rFonts w:cs="Arial"/>
        </w:rPr>
        <w:t>5 Become familiar with plasma exchange treatment in acute presentations of MS, NMOSD, MG</w:t>
      </w:r>
    </w:p>
    <w:p w:rsidRPr="003F5D69" w:rsidP="006A623D">
      <w:pPr>
        <w:spacing w:line="240" w:lineRule="auto"/>
        <w:rPr>
          <w:rFonts w:cs="Arial"/>
        </w:rPr>
      </w:pPr>
      <w:r w:rsidRPr="003F5D69">
        <w:rPr>
          <w:rFonts w:cs="Arial"/>
        </w:rPr>
        <w:t>6 Demonstrate familiarity with surgical treatment indication for MG</w:t>
      </w:r>
    </w:p>
    <w:p w:rsidRPr="003F5D69" w:rsidP="006A623D">
      <w:pPr>
        <w:spacing w:line="240" w:lineRule="auto"/>
        <w:rPr>
          <w:rFonts w:cs="Arial"/>
        </w:rPr>
      </w:pPr>
      <w:r w:rsidRPr="003F5D69">
        <w:rPr>
          <w:rFonts w:cs="Arial"/>
        </w:rPr>
        <w:t>7 Demonstrate familiarity with required immunization, treatment of infections with immunosuppressive therapy for MS, NMOSD, MG</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Family Medicine, Internal Medicine, Neurology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Luisa Bazan,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Neil Simmerman,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Advisor-Cooper Surgical|Advisor-Natera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Odaliz Abreu Lanfranco,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Mirela Cerghet,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Helena Bulka,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Anza Memon,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Fee-Inlightened and Connected Research|Grant or research support-NIH|Grant or research support-Genentech - 04/20/2025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Popoff,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 (Relationship has ended)|Consulting Fee-Oxford Performance Materials - 03/26/2025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Deepak Venkat,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Kavita Grover,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Advisor-Janssen (Relationship has ended)|Membership on Advisory Committees or Review Panels, Board Membership, etc.-Janssen|Advisor-Amgen (Relationship has ended)|Advisor-UCB (Relationship has ended)|Advisor-Kyverna (Relationship has ended) - 05/12/2025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Ileana Lopez-Plaza,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Hammermeister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 Pomponio,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Alyssa Smith,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Nestelynn Gay,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Abbas Jowkar, MD, FAAN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Ata, Syed,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6.00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