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Annual Obesity Symposium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09/12/2025 9:00 AM</w:t>
      </w:r>
      <w:r w:rsidRPr="003F5D69" w:rsidR="00FE207D">
        <w:rPr>
          <w:rFonts w:cs="Arial"/>
          <w:b/>
          <w:noProof/>
          <w:sz w:val="28"/>
          <w:szCs w:val="28"/>
        </w:rPr>
        <w:t xml:space="preserve"> </w:t>
      </w:r>
      <w:r w:rsidRPr="003F5D69">
        <w:rPr>
          <w:rFonts w:cs="Arial"/>
          <w:b/>
          <w:noProof/>
          <w:sz w:val="28"/>
          <w:szCs w:val="28"/>
        </w:rPr>
        <w:t>Piston's Performance Center</w:t>
      </w:r>
    </w:p>
    <w:p w:rsidR="00B635C4" w:rsidRPr="003F5D69" w:rsidP="006A623D">
      <w:pPr>
        <w:spacing w:line="240" w:lineRule="auto"/>
        <w:rPr>
          <w:rFonts w:cs="Arial"/>
          <w:sz w:val="24"/>
        </w:rPr>
      </w:pPr>
      <w:r>
        <w:rPr>
          <w:rtl w:val="0"/>
        </w:rPr>
        <w:t>Attendees are anticipated to learn about the pathophysiology of obesity, role of GLP1's in post bariatric surgery patients, GERD with hiatal hernia repair and bariatric surgery in a single procedure, obesity bias, healthy equity in obesity care and nutrition guidelines for chronic obesity management.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Current and Future Mechanisms for Pharmacologic Treatment of Obesity. Learn pathophysiology behind GIP/GLP1 receptors and its impact on the body</w:t>
      </w:r>
    </w:p>
    <w:p w:rsidRPr="003F5D69" w:rsidP="006A623D">
      <w:pPr>
        <w:spacing w:line="240" w:lineRule="auto"/>
        <w:rPr>
          <w:rFonts w:cs="Arial"/>
        </w:rPr>
      </w:pPr>
    </w:p>
    <w:p w:rsidRPr="003F5D69" w:rsidP="006A623D">
      <w:pPr>
        <w:spacing w:line="240" w:lineRule="auto"/>
        <w:rPr>
          <w:rFonts w:cs="Arial"/>
        </w:rPr>
      </w:pPr>
      <w:r w:rsidRPr="003F5D69">
        <w:rPr>
          <w:rFonts w:cs="Arial"/>
        </w:rPr>
        <w:t>2 to utilize GLP1 or GIP/GLP1s in post bariatric surgery patients</w:t>
      </w:r>
    </w:p>
    <w:p w:rsidRPr="003F5D69" w:rsidP="006A623D">
      <w:pPr>
        <w:spacing w:line="240" w:lineRule="auto"/>
        <w:rPr>
          <w:rFonts w:cs="Arial"/>
        </w:rPr>
      </w:pPr>
      <w:r w:rsidRPr="003F5D69">
        <w:rPr>
          <w:rFonts w:cs="Arial"/>
        </w:rPr>
        <w:t>3 understand hiatal hernia and bariatric surgery combined to combat GERD symptoms and obesity for chronic disease management</w:t>
      </w:r>
    </w:p>
    <w:p w:rsidRPr="003F5D69" w:rsidP="006A623D">
      <w:pPr>
        <w:spacing w:line="240" w:lineRule="auto"/>
        <w:rPr>
          <w:rFonts w:cs="Arial"/>
        </w:rPr>
      </w:pPr>
      <w:r w:rsidRPr="003F5D69">
        <w:rPr>
          <w:rFonts w:cs="Arial"/>
        </w:rPr>
        <w:t>4 understand nutrition guidelines for patients on GLP1/GIP incretins and post bariatric surgery patients</w:t>
      </w:r>
    </w:p>
    <w:p w:rsidRPr="003F5D69" w:rsidP="006A623D">
      <w:pPr>
        <w:spacing w:line="240" w:lineRule="auto"/>
        <w:rPr>
          <w:rFonts w:cs="Arial"/>
        </w:rPr>
      </w:pPr>
      <w:r w:rsidRPr="003F5D69">
        <w:rPr>
          <w:rFonts w:cs="Arial"/>
        </w:rPr>
        <w:t xml:space="preserve">5 hear from community voices on social health determinants and Obesity  </w:t>
      </w:r>
    </w:p>
    <w:p w:rsidRPr="003F5D69" w:rsidP="006A623D">
      <w:pPr>
        <w:spacing w:line="240" w:lineRule="auto"/>
        <w:rPr>
          <w:rFonts w:cs="Arial"/>
        </w:rPr>
      </w:pPr>
      <w:r w:rsidRPr="003F5D69">
        <w:rPr>
          <w:rFonts w:cs="Arial"/>
        </w:rPr>
        <w:t xml:space="preserve">6 participate in Henry Ford Health's Obesity disease expert panels for open Q&amp;A. Experts included are Obesity Medicine Physician, Bariatric Surgery physician, Psychologist, Family Physician, Exercise Physiologist and Nutritionist.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Family Medicine, Internal Medicine, Surgery, Bariatric &amp;Amp; Obesity Medicine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Carly Brescacin,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Genaw,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White Perkins,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support-Genentech|Grant or research support-Lilly - 05/23/2025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Dennis Kerrigan,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support-Kento Health Inc. - 07/11/2025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Puraj Patel,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Smith,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Oliver A Varban,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Honoraria-Blue Cross Blue Shield of MIchigan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Aaron Sabbota,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Hunter,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Suki Singh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Advisor-American Medical Group Association, Lilly USA and Eli Lilly Company, Novo Nordisk - 07/23/2025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Tanya Kabeth, 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Randy Seeley,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Advisor-Amgen|Grant or research support-Amgen|Grant or research support-Fractyl|Grant or research support-Eli Lilly|Grant or research support-Congruence Tx|Grant or research support-Diasome|Stocks or stock options, excluding diversified mutual funds-Fractyl|Stocks or stock options, excluding diversified mutual funds-Rewind|Stocks or stock options, excluding diversified mutual funds-Nuanced Health|Stocks or stock options, excluding diversified mutual funds-Coronation Bio|Advisor-Crinetics|Stocks or stock options, excluding diversified mutual funds-Eccogene|Advisor-CinRx|Advisor-Heliocore - 05/30/2025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4.50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