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Primary Care Series - Update in Migraine</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06/11/2025 9:00 AM</w:t>
      </w:r>
      <w:r w:rsidRPr="003F5D69" w:rsidR="00FE207D">
        <w:rPr>
          <w:rFonts w:cs="Arial"/>
          <w:b/>
          <w:noProof/>
          <w:sz w:val="28"/>
          <w:szCs w:val="28"/>
        </w:rPr>
        <w:t xml:space="preserve"> </w:t>
      </w:r>
      <w:r w:rsidRPr="003F5D69">
        <w:rPr>
          <w:rFonts w:cs="Arial"/>
          <w:b/>
          <w:noProof/>
          <w:sz w:val="28"/>
          <w:szCs w:val="28"/>
        </w:rPr>
        <w:t>WebEx</w:t>
      </w:r>
    </w:p>
    <w:p w:rsidR="00B635C4" w:rsidRPr="003F5D69">
      <w:pPr>
        <w:bidi w:val="0"/>
        <w:spacing w:after="280" w:afterAutospacing="1"/>
        <w:rPr>
          <w:rFonts w:cs="Arial"/>
          <w:sz w:val="24"/>
        </w:rPr>
      </w:pPr>
      <w:r>
        <w:rPr>
          <w:rtl w:val="0"/>
        </w:rPr>
        <w:t>This presentation will provide an update in migraine diagnosis and focus on addressing the care of migraine patients from the perspective of a primary care physician. This program will address 5 burning questions often on the mind of primary care physicians who care for patients with migraine. 1. Is there such a thing as sinus headache? 2. Do you recommend a particular template? 3. What about these cGRP’s? Do they work? 4. What acute treatments should I start with? 5. What does the headache clinic offer?</w:t>
      </w:r>
    </w:p>
    <w:p>
      <w:pPr>
        <w:bidi w:val="0"/>
        <w:spacing w:after="280" w:afterAutospacing="1"/>
        <w:rPr>
          <w:rtl w:val="0"/>
        </w:rPr>
      </w:pPr>
      <w:r>
        <w:rPr>
          <w:color w:val="ED1C24"/>
          <w:sz w:val="18"/>
          <w:szCs w:val="18"/>
          <w:rtl w:val="0"/>
        </w:rPr>
        <w:t>Click the Activity Instructions button for more info.</w:t>
      </w:r>
    </w:p>
    <w:p>
      <w:pPr>
        <w:bidi w:val="0"/>
        <w:spacing w:before="0" w:beforeAutospacing="0" w:after="0" w:afterAutospacing="0"/>
        <w:ind w:left="0" w:right="0"/>
        <w:rPr>
          <w:rtl w:val="0"/>
        </w:rPr>
      </w:pPr>
      <w:r>
        <w:rPr>
          <w:color w:val="ED1C24"/>
          <w:sz w:val="18"/>
          <w:szCs w:val="18"/>
          <w:rtl w:val="0"/>
        </w:rPr>
        <w:t>Once registration is complete please click the Begin Activity tab to launch the video.</w:t>
      </w:r>
    </w:p>
    <w:p>
      <w:pPr>
        <w:bidi w:val="0"/>
        <w:spacing w:before="0" w:beforeAutospacing="0" w:after="0" w:afterAutospacing="0"/>
        <w:ind w:left="0" w:right="0"/>
        <w:rPr>
          <w:rtl w:val="0"/>
        </w:rPr>
      </w:pPr>
      <w:r>
        <w:rPr>
          <w:color w:val="ED1C24"/>
          <w:sz w:val="18"/>
          <w:szCs w:val="18"/>
          <w:rtl w:val="0"/>
        </w:rPr>
        <w:t xml:space="preserve">You must complete the pre and/or post-test and evaluation to receive CME credit.  </w:t>
      </w:r>
    </w:p>
    <w:p w:rsidRPr="003F5D69">
      <w:pPr>
        <w:bidi w:val="0"/>
        <w:spacing w:after="280" w:afterAutospacing="1"/>
        <w:rPr>
          <w:rFonts w:cs="Arial"/>
        </w:rPr>
      </w:pP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To review a new Epic template for providers to use in the care of migraine patients</w:t>
      </w:r>
    </w:p>
    <w:p w:rsidRPr="003F5D69" w:rsidP="006A623D">
      <w:pPr>
        <w:spacing w:line="240" w:lineRule="auto"/>
        <w:rPr>
          <w:rFonts w:cs="Arial"/>
        </w:rPr>
      </w:pPr>
      <w:r w:rsidRPr="003F5D69">
        <w:rPr>
          <w:rFonts w:cs="Arial"/>
        </w:rPr>
        <w:t>2 Identify the role of cGRP therapies in patients with migraine.</w:t>
      </w:r>
    </w:p>
    <w:p w:rsidRPr="003F5D69" w:rsidP="006A623D">
      <w:pPr>
        <w:spacing w:line="240" w:lineRule="auto"/>
        <w:rPr>
          <w:rFonts w:cs="Arial"/>
        </w:rPr>
      </w:pPr>
      <w:r w:rsidRPr="003F5D69">
        <w:rPr>
          <w:rFonts w:cs="Arial"/>
        </w:rPr>
        <w:t>3 review advanced therapies for migraine patients that are offered by the headache clinic.</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Internal Medicine, Neurology, Primary Care</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Tamara Hemovich, Business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Miller,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Ashhar Ali,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Anupama Nair,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Mary Megally,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- 03/27/2025</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1.25</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