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Buprenorphine for Analgesia</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10/27/2025 9:00 AM</w:t>
      </w:r>
      <w:r w:rsidRPr="003F5D69" w:rsidR="00FE207D">
        <w:rPr>
          <w:rFonts w:cs="Arial"/>
          <w:b/>
          <w:noProof/>
          <w:sz w:val="28"/>
          <w:szCs w:val="28"/>
        </w:rPr>
        <w:t xml:space="preserve"> </w:t>
      </w:r>
      <w:r w:rsidRPr="003F5D69">
        <w:rPr>
          <w:rFonts w:cs="Arial"/>
          <w:b/>
          <w:noProof/>
          <w:sz w:val="28"/>
          <w:szCs w:val="28"/>
        </w:rPr>
        <w:t>Online</w:t>
      </w:r>
    </w:p>
    <w:p w:rsidR="00B635C4" w:rsidRPr="003F5D69">
      <w:pPr>
        <w:bidi w:val="0"/>
        <w:spacing w:after="280" w:afterAutospacing="1"/>
        <w:rPr>
          <w:rFonts w:cs="Arial"/>
          <w:sz w:val="24"/>
        </w:rPr>
      </w:pPr>
      <w:r>
        <w:rPr>
          <w:rtl w:val="0"/>
        </w:rPr>
        <w:t>This presentation will provide education on using buprenorphine for pain management. This educational opportunity will focus on the pharmacology, product selection, dosing considerations, and comparing buprenorphine to other opioids. The target is any provider that prescribes medications for pain.</w:t>
      </w:r>
    </w:p>
    <w:p>
      <w:pPr>
        <w:bidi w:val="0"/>
        <w:spacing w:after="280" w:afterAutospacing="1"/>
        <w:rPr>
          <w:rtl w:val="0"/>
        </w:rPr>
      </w:pPr>
      <w:r>
        <w:rPr>
          <w:color w:val="ED1C24"/>
          <w:sz w:val="21"/>
          <w:szCs w:val="21"/>
          <w:rtl w:val="0"/>
        </w:rPr>
        <w:t>Click the Activity Instructions button for more info.</w:t>
      </w:r>
    </w:p>
    <w:p>
      <w:pPr>
        <w:bidi w:val="0"/>
        <w:spacing w:before="0" w:beforeAutospacing="0" w:after="0" w:afterAutospacing="0"/>
        <w:ind w:left="0" w:right="0"/>
        <w:rPr>
          <w:rtl w:val="0"/>
        </w:rPr>
      </w:pPr>
      <w:r>
        <w:rPr>
          <w:color w:val="ED1C24"/>
          <w:sz w:val="21"/>
          <w:szCs w:val="21"/>
          <w:rtl w:val="0"/>
        </w:rPr>
        <w:t>Once registration is complete please click the Begin Activity tab to launch the video.</w:t>
      </w:r>
    </w:p>
    <w:p>
      <w:pPr>
        <w:bidi w:val="0"/>
        <w:spacing w:before="0" w:beforeAutospacing="0" w:after="0" w:afterAutospacing="0"/>
        <w:ind w:left="0" w:right="0"/>
        <w:rPr>
          <w:rtl w:val="0"/>
        </w:rPr>
      </w:pPr>
      <w:r>
        <w:rPr>
          <w:color w:val="ED1C24"/>
          <w:sz w:val="21"/>
          <w:szCs w:val="21"/>
          <w:rtl w:val="0"/>
        </w:rPr>
        <w:t>You must complete the pre and/or post-test and evaluation to receive CME credit.</w:t>
      </w:r>
    </w:p>
    <w:p w:rsidRPr="003F5D69">
      <w:pPr>
        <w:bidi w:val="0"/>
        <w:spacing w:after="280" w:afterAutospacing="1"/>
        <w:rPr>
          <w:rFonts w:cs="Arial"/>
        </w:rPr>
      </w:pP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Learn the essential pharmacology of buprenorphine</w:t>
      </w:r>
    </w:p>
    <w:p w:rsidRPr="003F5D69" w:rsidP="006A623D">
      <w:pPr>
        <w:spacing w:line="240" w:lineRule="auto"/>
        <w:rPr>
          <w:rFonts w:cs="Arial"/>
        </w:rPr>
      </w:pPr>
      <w:r w:rsidRPr="003F5D69">
        <w:rPr>
          <w:rFonts w:cs="Arial"/>
        </w:rPr>
        <w:t>2 Learn clinical scenarios in which to use buprenorphine for analgesia</w:t>
      </w:r>
    </w:p>
    <w:p w:rsidRPr="003F5D69" w:rsidP="006A623D">
      <w:pPr>
        <w:spacing w:line="240" w:lineRule="auto"/>
        <w:rPr>
          <w:rFonts w:cs="Arial"/>
        </w:rPr>
      </w:pPr>
      <w:r w:rsidRPr="003F5D69">
        <w:rPr>
          <w:rFonts w:cs="Arial"/>
        </w:rPr>
        <w:t>3 Learn the forms of buprenorphine most suitable for analgesia</w:t>
      </w:r>
    </w:p>
    <w:p w:rsidRPr="003F5D69" w:rsidP="006A623D">
      <w:pPr>
        <w:spacing w:line="240" w:lineRule="auto"/>
        <w:rPr>
          <w:rFonts w:cs="Arial"/>
        </w:rPr>
      </w:pPr>
      <w:r w:rsidRPr="003F5D69">
        <w:rPr>
          <w:rFonts w:cs="Arial"/>
        </w:rPr>
        <w:t>4 Learn how to initiate buprenorphine, titrate, rotate between forms, and rotate off buprenorphine when managing pain</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Family Medicine, Internal Medicine, Psychiatry, Anesthesia Critical Care, Pain Medicine, Critical Care Medicine, Hospice And Palliative Medicine, Primary Care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Henkin,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Kyle Quirk,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Patricia M Ryan,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Tamera Tennant,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- 06/11/2025</w:t>
            </w:r>
          </w:p>
        </w:tc>
      </w:tr>
    </w:tbl>
    <w:p w:rsidR="00F10D18" w:rsidRPr="00F10D18">
      <w:pPr>
        <w:bidi w:val="0"/>
        <w:spacing w:after="280" w:afterAutospacing="1"/>
        <w:rPr>
          <w:rFonts w:cs="Arial"/>
          <w:b/>
          <w:bCs/>
          <w:noProof/>
          <w:sz w:val="24"/>
          <w:szCs w:val="24"/>
        </w:rPr>
      </w:pPr>
    </w:p>
    <w:p w:rsidR="0028578E" w:rsidP="00802EA0">
      <w:pPr>
        <w:spacing w:line="240" w:lineRule="auto"/>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Henry Ford Health designates this live course for a maximum of </w:t>
      </w:r>
      <w:r w:rsidRPr="004200C3">
        <w:rPr>
          <w:rFonts w:cs="Arial"/>
          <w:noProof/>
        </w:rPr>
        <w:t>1.00</w:t>
      </w:r>
      <w:r w:rsidRPr="004200C3">
        <w:rPr>
          <w:rFonts w:cs="Arial"/>
        </w:rPr>
        <w:t> </w:t>
      </w:r>
      <w:r w:rsidRPr="004200C3">
        <w:rPr>
          <w:rFonts w:cs="Arial"/>
          <w:i/>
          <w:iCs/>
        </w:rPr>
        <w:t>AMA PRA Category 1 Credit(s) TM</w:t>
      </w:r>
      <w:r w:rsidRPr="004200C3">
        <w:rPr>
          <w:rFonts w:cs="Arial"/>
        </w:rPr>
        <w:t>. Physicians should only claim 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Square, Tyrone</cp:lastModifiedBy>
  <cp:revision>5</cp:revision>
  <dcterms:created xsi:type="dcterms:W3CDTF">2025-12-18T12:39:00Z</dcterms:created>
  <dcterms:modified xsi:type="dcterms:W3CDTF">2026-01-05T14:12:00Z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