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McClure Surgical Forum</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10/18/2025 7:30 AM</w:t>
      </w:r>
      <w:r w:rsidRPr="003F5D69" w:rsidR="00FE207D">
        <w:rPr>
          <w:rFonts w:cs="Arial"/>
          <w:b/>
          <w:noProof/>
          <w:sz w:val="28"/>
          <w:szCs w:val="28"/>
        </w:rPr>
        <w:t xml:space="preserve"> </w:t>
      </w:r>
      <w:r w:rsidRPr="003F5D69">
        <w:rPr>
          <w:rFonts w:cs="Arial"/>
          <w:b/>
          <w:noProof/>
          <w:sz w:val="28"/>
          <w:szCs w:val="28"/>
        </w:rPr>
        <w:t>HFH - Detroit - E&amp;R 2055</w:t>
      </w:r>
    </w:p>
    <w:p w:rsidR="00B635C4" w:rsidRPr="003F5D69" w:rsidP="006A623D">
      <w:pPr>
        <w:spacing w:line="240" w:lineRule="auto"/>
        <w:rPr>
          <w:rFonts w:cs="Arial"/>
          <w:sz w:val="24"/>
        </w:rPr>
      </w:pPr>
      <w:r>
        <w:rPr>
          <w:rtl w:val="0"/>
        </w:rPr>
        <w:t>Update on recent surgical innovations and other advances developed within the Department of Surgery at Henry Ford Hospital. Specific areas covered will include Transplant, Vascular, Cardiac, Thoracic, Plastic &amp; Reconstructive, Oncologic, and Bariatric Surgery. In addition, there will be presentations focusing on our surgical legacy at Henry Ford as well as our future.</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Describe innovations in transplant surgery which have improved care for solid organ transplant patients.</w:t>
      </w:r>
    </w:p>
    <w:p w:rsidRPr="003F5D69" w:rsidP="006A623D">
      <w:pPr>
        <w:spacing w:line="240" w:lineRule="auto"/>
        <w:rPr>
          <w:rFonts w:cs="Arial"/>
        </w:rPr>
      </w:pPr>
      <w:r w:rsidRPr="003F5D69">
        <w:rPr>
          <w:rFonts w:cs="Arial"/>
        </w:rPr>
        <w:t>2 Describe the advantages of a beating heart cardiac transplant.</w:t>
      </w:r>
    </w:p>
    <w:p w:rsidRPr="003F5D69" w:rsidP="006A623D">
      <w:pPr>
        <w:spacing w:line="240" w:lineRule="auto"/>
        <w:rPr>
          <w:rFonts w:cs="Arial"/>
        </w:rPr>
      </w:pPr>
      <w:r w:rsidRPr="003F5D69">
        <w:rPr>
          <w:rFonts w:cs="Arial"/>
        </w:rPr>
        <w:t>3 Understand the techniques of balloon septostomy for treating aortic dissection.</w:t>
      </w:r>
    </w:p>
    <w:p w:rsidRPr="003F5D69" w:rsidP="006A623D">
      <w:pPr>
        <w:spacing w:line="240" w:lineRule="auto"/>
        <w:rPr>
          <w:rFonts w:cs="Arial"/>
        </w:rPr>
      </w:pPr>
      <w:r w:rsidRPr="003F5D69">
        <w:rPr>
          <w:rFonts w:cs="Arial"/>
        </w:rPr>
        <w:t>4 Appreciate the negative impact of environmental exposures on the health of individuals living in metro Detroit.</w:t>
      </w:r>
    </w:p>
    <w:p w:rsidRPr="003F5D69" w:rsidP="006A623D">
      <w:pPr>
        <w:spacing w:line="240" w:lineRule="auto"/>
        <w:rPr>
          <w:rFonts w:cs="Arial"/>
        </w:rPr>
      </w:pPr>
      <w:r w:rsidRPr="003F5D69">
        <w:rPr>
          <w:rFonts w:cs="Arial"/>
        </w:rPr>
        <w:t xml:space="preserve">5 Understand the definition of bioconvergence and how it might be used to develop innovative solutions in healthcare. </w:t>
      </w:r>
    </w:p>
    <w:p w:rsidRPr="003F5D69" w:rsidP="006A623D">
      <w:pPr>
        <w:spacing w:line="240" w:lineRule="auto"/>
        <w:rPr>
          <w:rFonts w:cs="Arial"/>
        </w:rPr>
      </w:pPr>
      <w:r w:rsidRPr="003F5D69">
        <w:rPr>
          <w:rFonts w:cs="Arial"/>
        </w:rPr>
        <w:t>6 Appreciate the advances Henry Ford has made in the modern treatment of necrotizing pancreatitis.</w:t>
      </w:r>
    </w:p>
    <w:p w:rsidRPr="003F5D69" w:rsidP="006A623D">
      <w:pPr>
        <w:spacing w:line="240" w:lineRule="auto"/>
        <w:rPr>
          <w:rFonts w:cs="Arial"/>
        </w:rPr>
      </w:pPr>
      <w:r w:rsidRPr="003F5D69">
        <w:rPr>
          <w:rFonts w:cs="Arial"/>
        </w:rPr>
        <w:t>7 Understand the role of micro-lymphatic surgery in the prevention of arm lymphedema following axillary node dissection.</w:t>
      </w:r>
    </w:p>
    <w:p w:rsidRPr="003F5D69" w:rsidP="006A623D">
      <w:pPr>
        <w:spacing w:line="240" w:lineRule="auto"/>
        <w:rPr>
          <w:rFonts w:cs="Arial"/>
        </w:rPr>
      </w:pPr>
      <w:r w:rsidRPr="003F5D69">
        <w:rPr>
          <w:rFonts w:cs="Arial"/>
        </w:rPr>
        <w:t>8 Appreciate the role of a Pancreas Center in improving the outcomes of pancreatic cancer.</w:t>
      </w:r>
    </w:p>
    <w:p w:rsidRPr="003F5D69" w:rsidP="006A623D">
      <w:pPr>
        <w:spacing w:line="240" w:lineRule="auto"/>
        <w:rPr>
          <w:rFonts w:cs="Arial"/>
        </w:rPr>
      </w:pPr>
      <w:r w:rsidRPr="003F5D69">
        <w:rPr>
          <w:rFonts w:cs="Arial"/>
        </w:rPr>
        <w:t>9 Understand the contemporary role of metabolic surgery.</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Surgery</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Craig Reickert,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Joe H Patton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Dulchavsky,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Kwon,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 Shepard,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Loay Kabbani,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support-Gore Medical - 10/22/2024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Adhnan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Yasaman Kavousi,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Lee,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Fee-Echelon Development Group|Consulting Fee-Merit Medical (Relationship has ended)|Consulting Fee-Mozarc Medical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Dunya Atisha,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consultant-MTF Biologics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Rupen Shah,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Fee-Intuitive Surgical (Relationship has ended) - 02/13/2025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Arielle Hodari Gupta,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Atsushi Yoshida,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research)-Intuitive - 07/08/2025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Ikenna Okereke,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Kyle Miletic,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Fee-Johnson &amp; Johnson (Relationship has ended) - 05/05/2025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Browne,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Oliver A Varban,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Honoraria-Blue Cross Blue Shield of MIchigan - 03/18/2025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MacLean,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Clayton,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4.00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4.00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p>
    <w:p w:rsidRPr="00DC74F2" w:rsidP="00A76840">
      <w:pPr>
        <w:spacing w:line="240" w:lineRule="auto"/>
        <w:rPr>
          <w:rFonts w:cs="Arial"/>
          <w:sz w:val="20"/>
          <w:szCs w:val="20"/>
        </w:rPr>
      </w:pPr>
      <w:r w:rsidRPr="00DC74F2">
        <w:rPr>
          <w:rFonts w:cs="Arial"/>
          <w:sz w:val="20"/>
          <w:szCs w:val="20"/>
        </w:rPr>
        <w:t>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E50B33">
        <w:rPr>
          <w:rFonts w:cs="Segoe UI"/>
          <w:color w:val="000000"/>
          <w:sz w:val="20"/>
          <w:szCs w:val="20"/>
          <w:shd w:val="clear" w:color="auto" w:fill="FFFFFF"/>
        </w:rPr>
        <w:t>Alex Shepard at ashepar2@hfhs.org</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Alex Shepard at ashepar2@hfhs.org</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instrText>Alex Shepard at ashepar2@hfhs.org</w:instrText>
      </w:r>
      <w:r w:rsidRPr="0028578E">
        <w:rPr>
          <w:rFonts w:cs="Arial"/>
          <w:sz w:val="20"/>
          <w:szCs w:val="20"/>
        </w:rPr>
        <w:instrText>." ""</w:instrText>
      </w:r>
      <w:r w:rsidRPr="0028578E">
        <w:rPr>
          <w:rFonts w:cs="Arial"/>
          <w:sz w:val="20"/>
          <w:szCs w:val="20"/>
        </w:rPr>
        <w:fldChar w:fldCharType="separate"/>
      </w:r>
      <w:r w:rsidRPr="0028578E">
        <w:rPr>
          <w:rFonts w:cs="Arial"/>
          <w:sz w:val="20"/>
          <w:szCs w:val="20"/>
        </w:rPr>
        <w:t xml:space="preserve">If you have questions, please email </w:t>
      </w:r>
      <w:r w:rsidRPr="0028578E">
        <w:rPr>
          <w:rFonts w:cs="Arial"/>
          <w:sz w:val="20"/>
          <w:szCs w:val="20"/>
        </w:rPr>
        <w:t>Alex Shepard at ashepar2@hfhs.org</w:t>
      </w:r>
      <w:r w:rsidRPr="0028578E">
        <w:rPr>
          <w:rFonts w:cs="Arial"/>
          <w:sz w:val="20"/>
          <w:szCs w:val="20"/>
        </w:rPr>
        <w:t>.</w:t>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