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HFJ Trauma Grand Rounds - Reducing Falls and Preventing Injury for Older Adults</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08/05/2025 12:00 PM</w:t>
      </w:r>
      <w:r w:rsidRPr="003F5D69" w:rsidR="00FE207D">
        <w:rPr>
          <w:rFonts w:cs="Arial"/>
          <w:b/>
          <w:noProof/>
          <w:sz w:val="28"/>
          <w:szCs w:val="28"/>
        </w:rPr>
        <w:t xml:space="preserve"> </w:t>
      </w:r>
      <w:r w:rsidRPr="003F5D69">
        <w:rPr>
          <w:rFonts w:cs="Arial"/>
          <w:b/>
          <w:noProof/>
          <w:sz w:val="28"/>
          <w:szCs w:val="28"/>
        </w:rPr>
        <w:t>Online</w:t>
      </w:r>
    </w:p>
    <w:p w:rsidR="00B635C4" w:rsidRPr="003F5D69" w:rsidP="006A623D">
      <w:pPr>
        <w:spacing w:line="240" w:lineRule="auto"/>
        <w:rPr>
          <w:rFonts w:cs="Arial"/>
          <w:sz w:val="24"/>
        </w:rPr>
      </w:pPr>
      <w:r>
        <w:rPr>
          <w:rtl w:val="0"/>
        </w:rPr>
        <w:t xml:space="preserve">This lecture will discuss best practices for caring for the ill or injured child in hospital settings primarily designed for adult patients. It will review current statistics for pediatric readiness both in Michigan and nationally, using standards developed by the National Pediatric Readiness Project (NPRP). The presentation will describe evidence supporting the use of pediatric resources and pediatric champions in improving pediatric mortality. </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Learn about an effective evidence-based group education program for fall prevention behavior change.</w:t>
      </w:r>
    </w:p>
    <w:p w:rsidRPr="003F5D69" w:rsidP="006A623D">
      <w:pPr>
        <w:spacing w:line="240" w:lineRule="auto"/>
        <w:rPr>
          <w:rFonts w:cs="Arial"/>
        </w:rPr>
      </w:pPr>
    </w:p>
    <w:p w:rsidRPr="003F5D69" w:rsidP="006A623D">
      <w:pPr>
        <w:spacing w:line="240" w:lineRule="auto"/>
        <w:rPr>
          <w:rFonts w:cs="Arial"/>
        </w:rPr>
      </w:pPr>
      <w:r w:rsidRPr="003F5D69">
        <w:rPr>
          <w:rFonts w:cs="Arial"/>
        </w:rPr>
        <w:t>2 Discuss potential intervention strategies to reach frail elderly populations and improve intervention uptake, adherence, and functional outcomes.</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Surgical Critical Care</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Lawrence Narkiewicz Jr.,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Madonna Walters,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Garrecht, BSN, RN, TCRN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- 02/07/2025</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1.00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