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Henry Ford Health 2025 Nutrition Symposium</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11/14/2025 7:30 AM</w:t>
      </w:r>
      <w:r w:rsidRPr="003F5D69" w:rsidR="00FE207D">
        <w:rPr>
          <w:rFonts w:cs="Arial"/>
          <w:b/>
          <w:noProof/>
          <w:sz w:val="28"/>
          <w:szCs w:val="28"/>
        </w:rPr>
        <w:t xml:space="preserve"> </w:t>
      </w:r>
      <w:r w:rsidRPr="003F5D69">
        <w:rPr>
          <w:rFonts w:cs="Arial"/>
          <w:b/>
          <w:noProof/>
          <w:sz w:val="28"/>
          <w:szCs w:val="28"/>
        </w:rPr>
        <w:t>Sheraton Novi</w:t>
      </w:r>
    </w:p>
    <w:p w:rsidR="00B635C4" w:rsidRPr="003F5D69" w:rsidP="006A623D">
      <w:pPr>
        <w:spacing w:line="240" w:lineRule="auto"/>
        <w:rPr>
          <w:rFonts w:cs="Arial"/>
          <w:sz w:val="24"/>
        </w:rPr>
      </w:pPr>
      <w:r>
        <w:rPr>
          <w:rtl w:val="0"/>
        </w:rPr>
        <w:t>This year’s agenda offers in-depth presentations and interactive discussions on gastrointestinal disorders, high-risk maternal nutrition, and chronic and progressive diseases affecting nutrition status. Participants will gain new strategies to address specialized nutrition concerns, optimize interdisciplinary care, and navigate rapidly evolving clinical guidelines.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 xml:space="preserve">1 Describe the pathophysiology and diagnosis of gastroparesis and identify dietary modifications that support adequate nutrition during acute gastroparesis flares </w:t>
      </w:r>
    </w:p>
    <w:p w:rsidRPr="003F5D69" w:rsidP="006A623D">
      <w:pPr>
        <w:spacing w:line="240" w:lineRule="auto"/>
        <w:rPr>
          <w:rFonts w:cs="Arial"/>
        </w:rPr>
      </w:pPr>
    </w:p>
    <w:p w:rsidRPr="003F5D69" w:rsidP="006A623D">
      <w:pPr>
        <w:spacing w:line="240" w:lineRule="auto"/>
        <w:rPr>
          <w:rFonts w:cs="Arial"/>
        </w:rPr>
      </w:pPr>
      <w:r w:rsidRPr="003F5D69">
        <w:rPr>
          <w:rFonts w:cs="Arial"/>
        </w:rPr>
        <w:t>2 Evaluate the impact of nutrition counseling interventions on pregnancy outcomes and describe strategies to enhance patient engagement and adherence in various healthcare settings.</w:t>
      </w:r>
    </w:p>
    <w:p w:rsidRPr="003F5D69" w:rsidP="006A623D">
      <w:pPr>
        <w:spacing w:line="240" w:lineRule="auto"/>
        <w:rPr>
          <w:rFonts w:cs="Arial"/>
        </w:rPr>
      </w:pPr>
      <w:r w:rsidRPr="003F5D69">
        <w:rPr>
          <w:rFonts w:cs="Arial"/>
        </w:rPr>
        <w:t xml:space="preserve">3 Understand the nutrition, medical, endoscopic, and surgical options for the management of gastroparesis long-term nutrition strategies for managing gastroparesis, including meeting micronutrient needs, macronutrient needs, and managing blood glucose levels </w:t>
      </w:r>
    </w:p>
    <w:p w:rsidRPr="003F5D69" w:rsidP="006A623D">
      <w:pPr>
        <w:spacing w:line="240" w:lineRule="auto"/>
        <w:rPr>
          <w:rFonts w:cs="Arial"/>
        </w:rPr>
      </w:pPr>
      <w:r w:rsidRPr="003F5D69">
        <w:rPr>
          <w:rFonts w:cs="Arial"/>
        </w:rPr>
        <w:t xml:space="preserve">4 Discuss practical implementation of guidelines for food allergy patients and describe appropriate referrals and common conditions that we see in food allergy patients </w:t>
      </w:r>
    </w:p>
    <w:p w:rsidRPr="003F5D69" w:rsidP="006A623D">
      <w:pPr>
        <w:spacing w:line="240" w:lineRule="auto"/>
        <w:rPr>
          <w:rFonts w:cs="Arial"/>
        </w:rPr>
      </w:pPr>
      <w:r w:rsidRPr="003F5D69">
        <w:rPr>
          <w:rFonts w:cs="Arial"/>
        </w:rPr>
        <w:t>5 Review natural history of food allergy</w:t>
      </w:r>
    </w:p>
    <w:p w:rsidRPr="003F5D69" w:rsidP="006A623D">
      <w:pPr>
        <w:spacing w:line="240" w:lineRule="auto"/>
        <w:rPr>
          <w:rFonts w:cs="Arial"/>
        </w:rPr>
      </w:pPr>
      <w:r w:rsidRPr="003F5D69">
        <w:rPr>
          <w:rFonts w:cs="Arial"/>
        </w:rPr>
        <w:t>6 Apply current clinical guidelines and research findings to develop individualized nutrition care plans that optimize maternal and fetal health outcomes</w:t>
      </w:r>
    </w:p>
    <w:p w:rsidRPr="003F5D69" w:rsidP="006A623D">
      <w:pPr>
        <w:spacing w:line="240" w:lineRule="auto"/>
        <w:rPr>
          <w:rFonts w:cs="Arial"/>
        </w:rPr>
      </w:pPr>
    </w:p>
    <w:p w:rsidRPr="003F5D69" w:rsidP="006A623D">
      <w:pPr>
        <w:spacing w:line="240" w:lineRule="auto"/>
        <w:rPr>
          <w:rFonts w:cs="Arial"/>
        </w:rPr>
      </w:pPr>
      <w:r w:rsidRPr="003F5D69">
        <w:rPr>
          <w:rFonts w:cs="Arial"/>
        </w:rPr>
        <w:t>7 Define MASLD/MASH and its risk factors and the primary goals of Medical Nutrition Therapy (MNT) for MASH, including reduction of hepatic fat and inflammation, weight management, and preservation of lean body mass</w:t>
      </w:r>
    </w:p>
    <w:p w:rsidRPr="003F5D69" w:rsidP="006A623D">
      <w:pPr>
        <w:spacing w:line="240" w:lineRule="auto"/>
        <w:rPr>
          <w:rFonts w:cs="Arial"/>
        </w:rPr>
      </w:pPr>
      <w:r w:rsidRPr="003F5D69">
        <w:rPr>
          <w:rFonts w:cs="Arial"/>
        </w:rPr>
        <w:t>8 Identify evidence-based dietary patterns—such as the Mediterranean diet—that supports liver health and metabolic improvement in patients with MASH, avoiding overly restrictive or harmful approaches</w:t>
      </w:r>
    </w:p>
    <w:p w:rsidRPr="003F5D69" w:rsidP="006A623D">
      <w:pPr>
        <w:spacing w:line="240" w:lineRule="auto"/>
        <w:rPr>
          <w:rFonts w:cs="Arial"/>
        </w:rPr>
      </w:pPr>
      <w:r w:rsidRPr="003F5D69">
        <w:rPr>
          <w:rFonts w:cs="Arial"/>
        </w:rPr>
        <w:t>9 Recognize the role of energy balance, behavioral strategies, and hormonal dysregulation in achieving sustainable weight loss and improved liver outcomes</w:t>
      </w:r>
    </w:p>
    <w:p w:rsidRPr="003F5D69" w:rsidP="006A623D">
      <w:pPr>
        <w:spacing w:line="240" w:lineRule="auto"/>
        <w:rPr>
          <w:rFonts w:cs="Arial"/>
        </w:rPr>
      </w:pPr>
      <w:r w:rsidRPr="003F5D69">
        <w:rPr>
          <w:rFonts w:cs="Arial"/>
        </w:rPr>
        <w:t>10 Integrate practical, case-based nutrition recommendations into individualized care plans that are culturally sensitive, feasible, and designed for long-term adherence, motivating patients to set goals to achieve positive outcomes</w:t>
      </w:r>
    </w:p>
    <w:p w:rsidRPr="003F5D69" w:rsidP="006A623D">
      <w:pPr>
        <w:spacing w:line="240" w:lineRule="auto"/>
        <w:rPr>
          <w:rFonts w:cs="Arial"/>
        </w:rPr>
      </w:pPr>
      <w:r w:rsidRPr="003F5D69">
        <w:rPr>
          <w:rFonts w:cs="Arial"/>
        </w:rPr>
        <w:t>11 Advocate for multidisciplinary collaboration in managing MASH, including timely referral to registered dietitians and inclusion of pharmaceutical therapy, bariatric referral, behavioral, and physical activity interventions</w:t>
      </w:r>
    </w:p>
    <w:p w:rsidRPr="003F5D69" w:rsidP="006A623D">
      <w:pPr>
        <w:spacing w:line="240" w:lineRule="auto"/>
        <w:rPr>
          <w:rFonts w:cs="Arial"/>
        </w:rPr>
      </w:pPr>
      <w:r w:rsidRPr="003F5D69">
        <w:rPr>
          <w:rFonts w:cs="Arial"/>
        </w:rPr>
        <w:t>12 Understand what ALS is in general terms and understand the importance of weight maintenance and its relation to disease progression</w:t>
      </w:r>
    </w:p>
    <w:p w:rsidRPr="003F5D69" w:rsidP="006A623D">
      <w:pPr>
        <w:spacing w:line="240" w:lineRule="auto"/>
        <w:rPr>
          <w:rFonts w:cs="Arial"/>
        </w:rPr>
      </w:pPr>
      <w:r w:rsidRPr="003F5D69">
        <w:rPr>
          <w:rFonts w:cs="Arial"/>
        </w:rPr>
        <w:t>13 Review Importance of liver fibrosis and ways to assess it and discuss new nomenclature</w:t>
      </w:r>
    </w:p>
    <w:p w:rsidRPr="003F5D69" w:rsidP="006A623D">
      <w:pPr>
        <w:spacing w:line="240" w:lineRule="auto"/>
        <w:rPr>
          <w:rFonts w:cs="Arial"/>
        </w:rPr>
      </w:pPr>
      <w:r w:rsidRPr="003F5D69">
        <w:rPr>
          <w:rFonts w:cs="Arial"/>
        </w:rPr>
        <w:t>14 Discuss the importance of establishing goals of care in nutrition with ALS patients</w:t>
      </w:r>
    </w:p>
    <w:p w:rsidRPr="003F5D69" w:rsidP="006A623D">
      <w:pPr>
        <w:spacing w:line="240" w:lineRule="auto"/>
        <w:rPr>
          <w:rFonts w:cs="Arial"/>
        </w:rPr>
      </w:pPr>
      <w:r w:rsidRPr="003F5D69">
        <w:rPr>
          <w:rFonts w:cs="Arial"/>
        </w:rPr>
        <w:t xml:space="preserve">15 Understand how feeding tubes can support people living with ALS and understand the importance of weight maintenance and its relation to disease progression and discuss the importance of timing of feeding tube placement, specifically considering respiratory issues  </w:t>
      </w:r>
    </w:p>
    <w:p w:rsidRPr="003F5D69" w:rsidP="006A623D">
      <w:pPr>
        <w:spacing w:line="240" w:lineRule="auto"/>
        <w:rPr>
          <w:rFonts w:cs="Arial"/>
        </w:rPr>
      </w:pPr>
      <w:r w:rsidRPr="003F5D69">
        <w:rPr>
          <w:rFonts w:cs="Arial"/>
        </w:rPr>
        <w:t>16 Identify nutritional challenges faced by people living with ALS</w:t>
      </w:r>
    </w:p>
    <w:p w:rsidRPr="003F5D69" w:rsidP="006A623D">
      <w:pPr>
        <w:spacing w:line="240" w:lineRule="auto"/>
        <w:rPr>
          <w:rFonts w:cs="Arial"/>
        </w:rPr>
      </w:pPr>
      <w:r w:rsidRPr="003F5D69">
        <w:rPr>
          <w:rFonts w:cs="Arial"/>
        </w:rPr>
        <w:t>17 Discuss common nutrition interventions for people with ALS</w:t>
      </w:r>
    </w:p>
    <w:p w:rsidRPr="003F5D69" w:rsidP="006A623D">
      <w:pPr>
        <w:spacing w:line="240" w:lineRule="auto"/>
        <w:rPr>
          <w:rFonts w:cs="Arial"/>
        </w:rPr>
      </w:pPr>
      <w:r w:rsidRPr="003F5D69">
        <w:rPr>
          <w:rFonts w:cs="Arial"/>
        </w:rPr>
        <w:t xml:space="preserve">18 Identify the key nutritional requirements and evidence-based dietary recommendations for pregnant individuals, including macronutrients and essential micronutrients and recognize common nutritional challenges and barriers faced by specific populations and formulate tailored strategies to address these needs. </w:t>
      </w:r>
    </w:p>
    <w:p w:rsidRPr="003F5D69" w:rsidP="006A623D">
      <w:pPr>
        <w:spacing w:line="240" w:lineRule="auto"/>
        <w:rPr>
          <w:rFonts w:cs="Arial"/>
        </w:rPr>
      </w:pPr>
      <w:r w:rsidRPr="003F5D69">
        <w:rPr>
          <w:rFonts w:cs="Arial"/>
        </w:rPr>
        <w:t>19 Understand factors to consider, specifically nutrition and chewing/swallowing function, when deciding on when to place a feeding tube</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Nutrition</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 Alsheik,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Bureau-Enterra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Ximena Arcila Londono,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Ashlee Carnahan,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Franklin,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Ava Geierman,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Goergen,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Humberto Gonzalez, MD, FAASLD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research)-Gilead (Relationship has ended)|Independent Contractor (included contracted research)-HM-Tria|Independent Contractor (included contracted research)-Madrigal Pharmaceuticals|Independent Contractor (included contracted research)-Inventiva Pharma|Speakers Bureau-Madrigal Pharmaceuticals|Advisor-Madrigal Pharmaceuticals|Independent Contractor (included contracted research)-Astrazeneca (Relationship has ended) - 02/05/2025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Haejin Kim, MD, ABAI</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Klein,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Murray, MPH,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Yakir Muszkat,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J. Park, MS, RDN, Registered Dietitian-Nutritionist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Haleema Saeed,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 Thayer, MS,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Work, MPH, RDN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6.25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