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Infectious Diseases - TB Case Conference 2025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10/30/2025 2:30 PM</w:t>
      </w:r>
      <w:r w:rsidRPr="003F5D69" w:rsidR="00FE207D">
        <w:rPr>
          <w:rFonts w:cs="Arial"/>
          <w:b/>
          <w:noProof/>
          <w:sz w:val="28"/>
          <w:szCs w:val="28"/>
        </w:rPr>
        <w:t xml:space="preserve"> </w:t>
      </w:r>
      <w:r w:rsidRPr="003F5D69">
        <w:rPr>
          <w:rFonts w:cs="Arial"/>
          <w:b/>
          <w:noProof/>
          <w:sz w:val="28"/>
          <w:szCs w:val="28"/>
        </w:rPr>
        <w:t>HFH - Detroit - OFP Gilmour Center</w:t>
      </w:r>
    </w:p>
    <w:p w:rsidR="00B635C4" w:rsidRPr="003F5D69" w:rsidP="006A623D">
      <w:pPr>
        <w:spacing w:line="240" w:lineRule="auto"/>
        <w:rPr>
          <w:rFonts w:cs="Arial"/>
          <w:sz w:val="24"/>
        </w:rPr>
      </w:pPr>
      <w:r>
        <w:rPr>
          <w:rtl w:val="0"/>
        </w:rPr>
        <w:t>This will be an interdisciplinary meeting involving infectious disease, radiology, and pulmonology to review the demographics and characteristics of patients diagnosed with tuberculosis at Henry Ford Health in 2024. The purpose of this review will be to highlight trends in diagnosis and treatment of patients with tuberculosis. By performing this joint session, we will better understand ways to more quickly identify TB cases and to discuss best approaches to pharmocotherapeutic management of these cases.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gain a better understanding of epidemiologic and demographic trends among patients with a diagnosis of tuberculosis at Henry Ford Health</w:t>
      </w:r>
    </w:p>
    <w:p w:rsidRPr="003F5D69" w:rsidP="006A623D">
      <w:pPr>
        <w:spacing w:line="240" w:lineRule="auto"/>
        <w:rPr>
          <w:rFonts w:cs="Arial"/>
        </w:rPr>
      </w:pPr>
      <w:r w:rsidRPr="003F5D69">
        <w:rPr>
          <w:rFonts w:cs="Arial"/>
        </w:rPr>
        <w:t>2 To review challenging tuberculosis cases to allow for a multi-disciplinary group to better harmonize practices around tuberculosis management</w:t>
      </w:r>
    </w:p>
    <w:p w:rsidRPr="003F5D69" w:rsidP="006A623D">
      <w:pPr>
        <w:spacing w:line="240" w:lineRule="auto"/>
        <w:rPr>
          <w:rFonts w:cs="Arial"/>
        </w:rPr>
      </w:pPr>
      <w:r w:rsidRPr="003F5D69">
        <w:rPr>
          <w:rFonts w:cs="Arial"/>
        </w:rPr>
        <w:t xml:space="preserve">3 To review updates in pharmacotherapy strategies used for treatment of tuberculosis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Infectious Diseases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Geehan Suleyman,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Herc,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Sunstrum,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Chen,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Alaa Abu Sayf,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Clarrissa Vasser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Yared,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Dharshan Vummidi,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Alyssa Smith,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1.50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