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5th Annual HFC Gastrointestinal &amp; Neuroendocrine Multidisciplinary Symposium (4/17/2026)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04/17/2026 7:00 AM</w:t>
      </w:r>
      <w:r w:rsidRPr="003F5D69" w:rsidR="00FE207D">
        <w:rPr>
          <w:rFonts w:cs="Arial"/>
          <w:b/>
          <w:noProof/>
          <w:sz w:val="28"/>
          <w:szCs w:val="28"/>
        </w:rPr>
        <w:t xml:space="preserve"> </w:t>
      </w:r>
      <w:r w:rsidRPr="003F5D69">
        <w:rPr>
          <w:rFonts w:cs="Arial"/>
          <w:b/>
          <w:noProof/>
          <w:sz w:val="28"/>
          <w:szCs w:val="28"/>
        </w:rPr>
        <w:t>The Henry Autograph Collection</w:t>
      </w:r>
    </w:p>
    <w:p w:rsidR="00B635C4" w:rsidRPr="003F5D69" w:rsidP="006A623D">
      <w:pPr>
        <w:spacing w:line="240" w:lineRule="auto"/>
        <w:rPr>
          <w:rFonts w:cs="Arial"/>
          <w:sz w:val="24"/>
        </w:rPr>
      </w:pPr>
      <w:r>
        <w:rPr>
          <w:rtl w:val="0"/>
        </w:rPr>
        <w:t>Gastrointestinal and Neuroendocrine symposium that provides the latest information in a multidisciplinary format. Updating clinical teams on the latest GI and Neuroendocrine Oncology topics including information on Germline Mutations, ctDNA Testing, Localized Pancreatic Cancer, Biliary Cancers, Metastatic Colorectal Cancers, Immunotherapies and other topics.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understand the impact of recent data from clinical trials for GI and NET cancer patient care.</w:t>
      </w:r>
    </w:p>
    <w:p w:rsidRPr="003F5D69" w:rsidP="006A623D">
      <w:pPr>
        <w:spacing w:line="240" w:lineRule="auto"/>
        <w:rPr>
          <w:rFonts w:cs="Arial"/>
        </w:rPr>
      </w:pPr>
      <w:r w:rsidRPr="003F5D69">
        <w:rPr>
          <w:rFonts w:cs="Arial"/>
        </w:rPr>
        <w:t>2 To become informed on best practices in an integrated multimodality therapy for patients with GI cancers and NET tumors.</w:t>
      </w:r>
    </w:p>
    <w:p w:rsidRPr="003F5D69" w:rsidP="006A623D">
      <w:pPr>
        <w:spacing w:line="240" w:lineRule="auto"/>
        <w:rPr>
          <w:rFonts w:cs="Arial"/>
        </w:rPr>
      </w:pPr>
      <w:r w:rsidRPr="003F5D69">
        <w:rPr>
          <w:rFonts w:cs="Arial"/>
        </w:rPr>
        <w:t>3 To use molecular diagnostic studies in the management of patients with GI and NET tumors.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Hematology Oncology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Maen Abdelrahim,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Mohammed Najeeb Al Hallak,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Bureau-Astrazeneca|Speakers Bureau-Guardant Health|Speakers Bureau-Pfizer|Speakers Bureau-Astellas|Speakers Bureau-Exelixis|Speakers Bureau-BeOne|Speakers Bureau-Incyte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Asfar S Azmi,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support-Colorado Chromatography, Blackstone Therapeutics, TyrNovo Therapeutics, RLL Pharmaceuticals (Relationship has ended) - 10/17/2025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Sreenivasa Chandana,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support-AbbVie|Grant or research support-Amgen|Grant or research support-Astellas Astellas|Grant or research support-Astrazeneca|Grant or research support-BMS|Grant or research support-Exact Sciences|Grant or research support-Exelixis|Grant or research support-Genentech Genentech|Grant or research support-Johnson &amp; Johnson|Grant or research support-Janssen|Grant or research support-Merck|Grant or research support-Novocure|Speakers Bureau-Natera|Advisor-Novocure|Consulting Fee-Astrazeneca|Consulting Fee-Eisai - 12/07/2025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Tressa Cuschieri, BBA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Diab,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Advisor-Novartis|Grant or research support-BMS|Grant or research support-Gilead|Advisor-Astrazeneca (Relationship has ended) - 11/25/2025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Gazala Khan,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Advisor-Astrazeneca (Relationship has ended) - 11/03/2025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Kizy, MD, Surgeon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Kwon,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Philip,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Fee-Advisor, Speaker Beureau, |Grant or research support-Karyopharm (Relationship has ended)|Advisor-Pfizer|Advisor-Seattle Genetics|Consulting Fee-Bayer|Grant or research support-Carcept (Relationship has ended)|Honoraria-Daiichi (Relationship has ended)|Honoraria-Erytech (Relationship has ended)|Honoraria-Incyte|Honoraria-Ipsen (Relationship has ended)|Honoraria-Merck (Relationship has ended)|Honoraria-Novocure (Relationship has ended)|Grant or research support-Rafael (Relationship has ended)|Honoraria-Genetech (Relationship has ended)|Consulting Fee-Trisauls (Relationship has ended)|Advisor-Boston Pharmaceuticals (Relationship has ended)|Honoraria-Servier (Relationship has ended)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Cyrus Piraka, MD, FASGE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Anwaar Saeed, MD, Associate Professor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Fee-Astrazeneca|Consulting Fee-Autem therapeutics |Consulting Fee-Replimune |Consulting Fee-Amgen|Grant or research support-Replimune |Grant or research support-Arcus therapeutics |Grant or research support-Phanes therapeutics |Consulting Fee-Xilio Therapeutics |Consulting Fee-Jazz therapeutics (Relationship has ended)|Consulting Fee-Exelixis|Consulting Fee-Taiho Pharmaceutical (Relationship has ended)|Consulting Fee-Merck (Relationship has ended)|Consulting Fee-BMS|Grant or research support-Astrazeneca|Grant or research support-BMS|Grant or research support-Exelixis|Grant or research support-Merck|Grant or research support-KAHR Medical |Grant or research support-Incyte Corporation |Consulting Fee-Arcus Therapeutics |Grant or research support-Oxford Biotherapeutics |Grant or research support-Actuate Therapeutics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Wasif Saif,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support-GlaxoSmithKline|Honoraria-UptoDate|Grant or research support-Marengo, IDEAYA, Binhui, Teva, Endevica, SystImmune - 11/12/2025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Rupen Shah,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Fee-Intuitive Surgical (Relationship has ended) - 12/02/2025</w:t>
            </w:r>
          </w:p>
        </w:tc>
      </w:tr>
    </w:tbl>
    <w:p w:rsidR="00F10D18" w:rsidRPr="00F10D18">
      <w:pPr>
        <w:bidi w:val="0"/>
        <w:spacing w:after="280" w:afterAutospacing="1"/>
        <w:rPr>
          <w:rFonts w:cs="Arial"/>
          <w:b/>
          <w:bCs/>
          <w:noProof/>
          <w:sz w:val="24"/>
          <w:szCs w:val="24"/>
        </w:rPr>
      </w:pPr>
    </w:p>
    <w:p w:rsidR="0028578E" w:rsidP="00802EA0">
      <w:pPr>
        <w:spacing w:line="240" w:lineRule="auto"/>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Henry Ford Health designates this live course for a maximum of </w:t>
      </w:r>
      <w:r w:rsidRPr="004200C3">
        <w:rPr>
          <w:rFonts w:cs="Arial"/>
          <w:noProof/>
        </w:rPr>
        <w:t>5.50</w:t>
      </w:r>
      <w:r w:rsidRPr="004200C3">
        <w:rPr>
          <w:rFonts w:cs="Arial"/>
        </w:rPr>
        <w:t> </w:t>
      </w:r>
      <w:r w:rsidRPr="004200C3">
        <w:rPr>
          <w:rFonts w:cs="Arial"/>
          <w:i/>
          <w:iCs/>
        </w:rPr>
        <w:t>AMA PRA Category 1 Credit(s) TM</w:t>
      </w:r>
      <w:r w:rsidRPr="004200C3">
        <w:rPr>
          <w:rFonts w:cs="Arial"/>
        </w:rPr>
        <w:t>. Physicians should only claim 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5.50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instrText>5.50</w:instrText>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p>
    <w:p w:rsidRPr="004200C3" w:rsidP="004200C3">
      <w:pPr>
        <w:spacing w:line="240" w:lineRule="auto"/>
        <w:rPr>
          <w:rFonts w:cs="Arial"/>
        </w:rPr>
      </w:pPr>
      <w:r w:rsidRPr="004200C3">
        <w:rPr>
          <w:rFonts w:cs="Arial"/>
        </w:rPr>
        <w:t xml:space="preserve">ABIM MOC Part 2: Successful completion of this CME activity, which includes participation in the evaluation component, enables the participant to earn up to </w:t>
      </w:r>
      <w:r w:rsidRPr="004200C3">
        <w:rPr>
          <w:rFonts w:cs="Arial"/>
        </w:rPr>
        <w:t>5.50</w:t>
      </w:r>
      <w:r w:rsidRPr="004200C3">
        <w:rPr>
          <w:rFonts w:cs="Arial"/>
        </w:rPr>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Square, Tyrone</cp:lastModifiedBy>
  <cp:revision>5</cp:revision>
  <dcterms:created xsi:type="dcterms:W3CDTF">2025-12-18T12:39:00Z</dcterms:created>
  <dcterms:modified xsi:type="dcterms:W3CDTF">2026-01-05T14:12:00Z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