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4B48" w:rsidRPr="003F5D69" w:rsidP="007A7979">
      <w:pPr>
        <w:spacing w:line="240" w:lineRule="auto"/>
        <w:jc w:val="center"/>
        <w:rPr>
          <w:rFonts w:cs="Arial"/>
          <w:b/>
          <w:noProof/>
          <w:sz w:val="28"/>
          <w:szCs w:val="28"/>
        </w:rPr>
      </w:pPr>
      <w:r>
        <w:rPr>
          <w:noProof/>
        </w:rPr>
        <w:drawing>
          <wp:inline distT="0" distB="0" distL="0" distR="0">
            <wp:extent cx="4591050" cy="293317"/>
            <wp:effectExtent l="0" t="0" r="0" b="0"/>
            <wp:docPr id="54366887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668878" name="Picture 543668878"/>
                    <pic:cNvPicPr/>
                  </pic:nvPicPr>
                  <pic:blipFill>
                    <a:blip xmlns:r="http://schemas.openxmlformats.org/officeDocument/2006/relationships" r:embed="rId4">
                      <a:extLst>
                        <a:ext uri="{28A0092B-C50C-407E-A947-70E740481C1C}">
                          <a14:useLocalDpi xmlns:a14="http://schemas.microsoft.com/office/drawing/2010/main"/>
                        </a:ext>
                      </a:extLst>
                    </a:blip>
                    <a:stretch>
                      <a:fillRect/>
                    </a:stretch>
                  </pic:blipFill>
                  <pic:spPr>
                    <a:xfrm>
                      <a:off x="0" y="0"/>
                      <a:ext cx="4591050" cy="293317"/>
                    </a:xfrm>
                    <a:prstGeom prst="rect">
                      <a:avLst/>
                    </a:prstGeom>
                  </pic:spPr>
                </pic:pic>
              </a:graphicData>
            </a:graphic>
          </wp:inline>
        </w:drawing>
      </w:r>
      <w:r w:rsidRPr="003F5D69" w:rsidR="004D5DAE">
        <w:rPr>
          <w:rFonts w:cs="Arial"/>
        </w:rPr>
        <w:br/>
      </w:r>
      <w:r w:rsidRPr="003F5D69" w:rsidR="007B0FAA">
        <w:rPr>
          <w:rFonts w:cs="Arial"/>
          <w:b/>
          <w:color w:val="31849B" w:themeColor="accent5" w:themeShade="BF"/>
          <w:sz w:val="28"/>
          <w:szCs w:val="28"/>
        </w:rPr>
        <w:br/>
      </w:r>
      <w:r w:rsidRPr="003F5D69" w:rsidR="005220D6">
        <w:rPr>
          <w:rFonts w:cs="Arial"/>
          <w:b/>
          <w:bCs/>
          <w:sz w:val="28"/>
          <w:szCs w:val="28"/>
        </w:rPr>
        <w:t>50th Annual EM Alumni Conference</w:t>
      </w:r>
      <w:r w:rsidRPr="003F5D69" w:rsidR="00993B4D">
        <w:rPr>
          <w:rFonts w:cs="Arial"/>
          <w:b/>
          <w:noProof/>
          <w:sz w:val="28"/>
          <w:szCs w:val="28"/>
        </w:rPr>
        <w:t xml:space="preserve"> </w:t>
      </w:r>
      <w:r w:rsidRPr="003F5D69" w:rsidR="005220D6">
        <w:rPr>
          <w:rFonts w:cs="Arial"/>
          <w:b/>
          <w:noProof/>
          <w:sz w:val="28"/>
          <w:szCs w:val="28"/>
        </w:rPr>
        <w:t xml:space="preserve">| </w:t>
      </w:r>
      <w:r w:rsidRPr="003F5D69" w:rsidR="005220D6">
        <w:rPr>
          <w:rFonts w:cs="Arial"/>
          <w:b/>
          <w:noProof/>
          <w:sz w:val="28"/>
          <w:szCs w:val="28"/>
        </w:rPr>
        <w:t>09/16/2026 8:00 AM</w:t>
      </w:r>
      <w:r w:rsidRPr="003F5D69" w:rsidR="00FE207D">
        <w:rPr>
          <w:rFonts w:cs="Arial"/>
          <w:b/>
          <w:noProof/>
          <w:sz w:val="28"/>
          <w:szCs w:val="28"/>
        </w:rPr>
        <w:t xml:space="preserve"> </w:t>
      </w:r>
      <w:r w:rsidRPr="003F5D69">
        <w:rPr>
          <w:rFonts w:cs="Arial"/>
          <w:b/>
          <w:noProof/>
          <w:sz w:val="28"/>
          <w:szCs w:val="28"/>
        </w:rPr>
        <w:t>HFH - Detroit - Martha Firestone &amp; William Clay Ford Hall A&amp;B</w:t>
      </w:r>
    </w:p>
    <w:p w:rsidR="00B635C4" w:rsidRPr="003F5D69" w:rsidP="006A623D">
      <w:pPr>
        <w:spacing w:line="240" w:lineRule="auto"/>
        <w:rPr>
          <w:rFonts w:cs="Arial"/>
          <w:sz w:val="24"/>
        </w:rPr>
      </w:pPr>
      <w:r>
        <w:rPr>
          <w:rtl w:val="0"/>
        </w:rPr>
        <w:t>The 50th Annual Emergency Medicine Alumni Conference addresses persistent practice gaps in the rapid recognition and management of time-sensitive, high-acuity conditions in the emergency department. Despite established guidelines and ongoing research, variability remains in the implementation of early goal-directed therapy for sepsis, timely stroke identification and treatment, evidence-based management of acute coronary syndromes, and optimal cardiac resuscitation strategies. In addition, the growing availability of novel biochemical markers and evolving therapeutic recommendations present challenges in clinical integration and decision-making. This activity will review current evidence and guideline-based recommendations for sepsis management, including practical implementation strategies and outcome considerations. Faculty will discuss advances in the diagnosis and emergency evaluation of acute stroke; updated therapeutic approaches and resuscitation strategies in acute coronary syndromes and cardiac arrest; and the appropriate application of emerging biochemical markers in emergency care. The program will also explore approaches to physician engagement and system-level strategies that support consistent, evidence-based practice. Designed for emergency physicians, advanced practice providers, residents, and other healthcare professionals involved in acute care, this conference aims to enhance competence, reduce variability in care delivery, and improve patient outcomes in the emergency setting.</w:t>
      </w:r>
    </w:p>
    <w:p w:rsidR="00815BB5" w:rsidRPr="003F5D69" w:rsidP="006A623D">
      <w:pPr>
        <w:spacing w:line="240" w:lineRule="auto"/>
        <w:rPr>
          <w:rFonts w:cs="Arial"/>
          <w:b/>
          <w:sz w:val="24"/>
          <w:szCs w:val="24"/>
        </w:rPr>
      </w:pPr>
      <w:r w:rsidRPr="003F5D69">
        <w:rPr>
          <w:rFonts w:cs="Arial"/>
          <w:b/>
          <w:sz w:val="24"/>
          <w:szCs w:val="24"/>
        </w:rPr>
        <w:t>Program Goal</w:t>
      </w:r>
    </w:p>
    <w:p w:rsidR="00993B4D" w:rsidRPr="003F5D69" w:rsidP="006A623D">
      <w:pPr>
        <w:spacing w:line="240" w:lineRule="auto"/>
        <w:rPr>
          <w:rFonts w:cs="Arial"/>
          <w:color w:val="000000" w:themeColor="text1"/>
          <w:sz w:val="24"/>
          <w:szCs w:val="24"/>
        </w:rPr>
      </w:pPr>
      <w:r w:rsidRPr="003F5D69">
        <w:rPr>
          <w:rFonts w:cs="Arial"/>
        </w:rPr>
        <w:t>1 Describe current evidence-based approaches to the management of critically ill patients in the emergency department, including sepsis and resuscitation strategies</w:t>
      </w:r>
    </w:p>
    <w:p w:rsidRPr="003F5D69" w:rsidP="006A623D">
      <w:pPr>
        <w:spacing w:line="240" w:lineRule="auto"/>
        <w:rPr>
          <w:rFonts w:cs="Arial"/>
        </w:rPr>
      </w:pPr>
      <w:r w:rsidRPr="003F5D69">
        <w:rPr>
          <w:rFonts w:cs="Arial"/>
        </w:rPr>
        <w:t>2 Apply best practices in the evaluation and management of common high-acuity emergency medicine presentations</w:t>
      </w:r>
    </w:p>
    <w:p w:rsidRPr="003F5D69" w:rsidP="006A623D">
      <w:pPr>
        <w:spacing w:line="240" w:lineRule="auto"/>
        <w:rPr>
          <w:rFonts w:cs="Arial"/>
        </w:rPr>
      </w:pPr>
      <w:r w:rsidRPr="003F5D69">
        <w:rPr>
          <w:rFonts w:cs="Arial"/>
        </w:rPr>
        <w:t>3 Discuss recent advances in the diagnosis and emergency treatment of acute stroke to support timely and effective intervention</w:t>
      </w:r>
    </w:p>
    <w:p w:rsidRPr="003F5D69" w:rsidP="006A623D">
      <w:pPr>
        <w:spacing w:line="240" w:lineRule="auto"/>
        <w:rPr>
          <w:rFonts w:cs="Arial"/>
        </w:rPr>
      </w:pPr>
      <w:r w:rsidRPr="003F5D69">
        <w:rPr>
          <w:rFonts w:cs="Arial"/>
        </w:rPr>
        <w:t>4 Demonstrate the appropriate use of point-of-care ultrasound to support diagnosis and clinical decision-making in the emergency setting</w:t>
      </w:r>
    </w:p>
    <w:p w:rsidR="003729D7" w:rsidRPr="00516E3B" w:rsidP="00CC477A">
      <w:pPr>
        <w:spacing w:line="240" w:lineRule="auto"/>
        <w:rPr>
          <w:rFonts w:cs="Arial"/>
          <w:b/>
          <w:sz w:val="24"/>
          <w:szCs w:val="24"/>
        </w:rPr>
      </w:pPr>
      <w:r w:rsidRPr="003F5D69">
        <w:rPr>
          <w:rFonts w:cs="Arial"/>
          <w:b/>
          <w:sz w:val="24"/>
          <w:szCs w:val="24"/>
        </w:rPr>
        <w:t>Target Audience</w:t>
      </w:r>
      <w:r w:rsidRPr="003F5D69" w:rsidR="00E04B48">
        <w:rPr>
          <w:rFonts w:cs="Arial"/>
          <w:b/>
          <w:sz w:val="24"/>
          <w:szCs w:val="24"/>
        </w:rPr>
        <w:t xml:space="preserve"> </w:t>
      </w:r>
      <w:r w:rsidRPr="003F5D69" w:rsidR="00BE6F87">
        <w:rPr>
          <w:rFonts w:cs="Arial"/>
        </w:rPr>
        <w:t>Emergency Medicine</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Roy Akarakian,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Douglas S Ander,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Andrew W Asimos,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Fee-iSchemaView, Inc. - 03/11/2026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Sudhir Baliga,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Matthew Ball,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Lydia Baltarowich,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Ahmad Bazzi,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Evan Boyar,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Abigail Brackney,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Jessalyn Brugnoni,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- 05/05/2026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Stephanie Buzzelli (Stokes),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Donna Carden,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Christopher Clark,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M Deledda,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Bram Dolcourt,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Caroline Dowers,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Danielle Doyle,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Thomas Fagan,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Mark Favot,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Fee-Echonous - 03/05/2026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Jason Folt,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cindy france,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- 10/20/2025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Gayle Galletta,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Fee-Defibrio - 02/16/2026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John Gallien,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Nina Gentile,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Robert Genzel,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Harold Gomez,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Nikhil Goyal,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Kyle Gunnerson, MD, FCCM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Crystal M Gyiraszin,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Reviewer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Samuel J Haraldson,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Elie Harmouche ,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Patrick Hawley,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Cameron Hypes,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support-Regeneron - 02/16/2026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Rossitza Iordanova,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Bradley Jaskulka,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Jaslow,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- 02/20/2026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Namita Jayaprakash,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 Antoine (Amin) A Kazzi, MD, FAAEM, MAAEM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Seth Krupp,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Christopher Lewandowski,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Manu K Malhotra, MD,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Jacob Manteuffel,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support-Gilead|Consulting Fee-Cepheid|Consulting Fee-Indivior - 02/23/2026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Gerard Martin,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Rebecca A Merrill,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Joseph Miller,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Fee-Tosoh|Consulting Fee-Beckman Coulter - 03/26/2026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Christina Miller,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 Specialist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- 11/19/2025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Barry Nemon,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James F Nowakowski, MD, ACEP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Laura Owczarek,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Giuseppe Perrotta,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Jacqueline Pflaum-Carlson,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Ayan Sen, MD, Chair, Department of Critical Care Medicine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Robert Sherwin,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Grant or research support-CardioSounds, LLC - 03/04/2026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Julian Suszanski, MD, FACEP, FPD-AEMUS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Consulting Fee-Lilly - 03/12/2026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Peter Vajda,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Taher Vohra,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- 12/11/2025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Charles Wira,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Brandtly Yakey, DO</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- 03/23/2026</w:t>
            </w:r>
          </w:p>
        </w:tc>
      </w:tr>
    </w:tbl>
    <w:p w:rsidR="0028578E">
      <w:pPr>
        <w:bidi w:val="0"/>
        <w:spacing w:after="280" w:afterAutospacing="1"/>
        <w:rPr>
          <w:rFonts w:cs="Arial"/>
          <w:noProof/>
          <w:sz w:val="24"/>
          <w:szCs w:val="24"/>
        </w:rPr>
      </w:pPr>
    </w:p>
    <w:p w:rsidR="00375DE1" w:rsidP="00EB5B29">
      <w:pPr>
        <w:spacing w:after="0" w:line="240" w:lineRule="auto"/>
        <w:rPr>
          <w:rFonts w:cs="Arial"/>
          <w:noProof/>
          <w:sz w:val="24"/>
          <w:szCs w:val="24"/>
        </w:rPr>
      </w:pPr>
      <w:r w:rsidRPr="14552B97">
        <w:rPr>
          <w:rFonts w:cs="Arial"/>
          <w:noProof/>
        </w:rPr>
        <w:t>All relevant financial relationships have been mitigated prior to the commencement of this activity.</w:t>
      </w:r>
    </w:p>
    <w:p w:rsidR="009166FF" w:rsidRPr="00EB5B29" w:rsidP="00EB5B29">
      <w:pPr>
        <w:spacing w:after="0" w:line="240" w:lineRule="auto"/>
        <w:rPr>
          <w:rFonts w:cs="Arial"/>
          <w:b/>
          <w:bCs/>
          <w:noProof/>
          <w:sz w:val="24"/>
          <w:szCs w:val="24"/>
        </w:rPr>
      </w:pPr>
    </w:p>
    <w:p w:rsidR="00CE6541" w:rsidRPr="00BC1050" w:rsidP="00CE6541">
      <w:pPr>
        <w:spacing w:after="0" w:line="240" w:lineRule="auto"/>
        <w:rPr>
          <w:rFonts w:cs="Arial"/>
          <w:b/>
          <w:bCs/>
          <w:noProof/>
        </w:rPr>
      </w:pPr>
      <w:bookmarkStart w:id="0" w:name="_Hlk216710071"/>
      <w:r w:rsidRPr="14552B97">
        <w:rPr>
          <w:rFonts w:cs="Arial"/>
          <w:b/>
          <w:bCs/>
          <w:noProof/>
        </w:rPr>
        <w:t xml:space="preserve">MITIGATION OF RELEVANT FINANCIAL RELATIONSHIPS: </w:t>
      </w:r>
      <w:r w:rsidRPr="14552B97">
        <w:rPr>
          <w:rFonts w:cs="Arial"/>
          <w:noProof/>
        </w:rPr>
        <w:t>Henry Ford Health adheres to the ACCME’s Standards for Integrity and Independence in Accredited Continuing Education. Henry Ford Health has implemented mechanisms to identify and mitigate financial relationships with ineligible companies for all individuals in a position to control content of this activity. All relevant financial relationships have been mitigated prior to the commencement of this activity.</w:t>
      </w:r>
    </w:p>
    <w:p w:rsidR="00CE6541" w:rsidRPr="00BC1050" w:rsidP="00CE6541">
      <w:pPr>
        <w:spacing w:after="0" w:line="240" w:lineRule="auto"/>
        <w:rPr>
          <w:rFonts w:cs="Arial"/>
          <w:b/>
          <w:bCs/>
        </w:rPr>
      </w:pPr>
      <w:bookmarkEnd w:id="0"/>
    </w:p>
    <w:p w:rsidR="00CE6541" w:rsidRPr="00BC1050" w:rsidP="00CE6541">
      <w:pPr>
        <w:spacing w:line="240" w:lineRule="auto"/>
        <w:rPr>
          <w:rFonts w:cs="Arial"/>
          <w:b/>
          <w:bCs/>
        </w:rPr>
      </w:pPr>
      <w:r w:rsidRPr="14552B97">
        <w:rPr>
          <w:rFonts w:cs="Arial"/>
          <w:b/>
          <w:bCs/>
        </w:rPr>
        <w:t xml:space="preserve">ACCREDITATION STATEMENT: </w:t>
      </w:r>
      <w:r w:rsidRPr="14552B97">
        <w:rPr>
          <w:rFonts w:cs="Arial"/>
        </w:rPr>
        <w:t>Henry Ford Health is accredited by the Accreditation Council for Continuing Medical Education</w:t>
      </w:r>
      <w:r w:rsidR="001E25C8">
        <w:rPr>
          <w:rFonts w:cs="Arial"/>
        </w:rPr>
        <w:t xml:space="preserve"> (ACCME)</w:t>
      </w:r>
      <w:r w:rsidRPr="14552B97">
        <w:rPr>
          <w:rFonts w:cs="Arial"/>
        </w:rPr>
        <w:t xml:space="preserve"> to provide continuing medical education for physicians. </w:t>
      </w:r>
    </w:p>
    <w:p w:rsidR="004200C3" w:rsidRPr="004200C3" w:rsidP="004200C3">
      <w:pPr>
        <w:spacing w:line="240" w:lineRule="auto"/>
        <w:rPr>
          <w:rFonts w:cs="Arial"/>
          <w:b/>
          <w:bCs/>
        </w:rPr>
      </w:pPr>
      <w:r w:rsidRPr="004200C3">
        <w:rPr>
          <w:rFonts w:cs="Arial"/>
          <w:b/>
          <w:bCs/>
        </w:rPr>
        <w:t>DESIGNATION STATEMENT</w:t>
      </w:r>
      <w:r w:rsidRPr="003F5D69">
        <w:rPr>
          <w:rFonts w:cs="Arial"/>
          <w:b/>
          <w:bCs/>
          <w:sz w:val="20"/>
          <w:szCs w:val="20"/>
        </w:rPr>
        <w:t>:</w:t>
      </w:r>
      <w:r w:rsidRPr="003F5D69">
        <w:rPr>
          <w:b/>
          <w:bCs/>
          <w:sz w:val="20"/>
          <w:szCs w:val="20"/>
        </w:rPr>
        <w:t xml:space="preserve"> </w:t>
      </w:r>
      <w:r w:rsidRPr="004200C3">
        <w:rPr>
          <w:rFonts w:cs="Arial"/>
        </w:rPr>
        <w:t xml:space="preserve">Henry Ford Health designates this </w:t>
      </w:r>
      <w:r w:rsidRPr="00EB5B29" w:rsidR="00A76EBE">
        <w:rPr>
          <w:rFonts w:cs="Arial"/>
          <w:noProof/>
        </w:rPr>
        <w:t>Live Activity</w:t>
      </w:r>
      <w:r w:rsidRPr="004200C3">
        <w:rPr>
          <w:rFonts w:cs="Arial"/>
        </w:rPr>
        <w:t xml:space="preserve"> for a maximum of </w:t>
      </w:r>
      <w:r w:rsidRPr="004200C3">
        <w:rPr>
          <w:rFonts w:cs="Arial"/>
          <w:noProof/>
        </w:rPr>
        <w:t>10.50</w:t>
      </w:r>
      <w:r w:rsidRPr="004200C3">
        <w:rPr>
          <w:rFonts w:cs="Arial"/>
        </w:rPr>
        <w:t> </w:t>
      </w:r>
      <w:r w:rsidRPr="004200C3">
        <w:rPr>
          <w:rFonts w:cs="Arial"/>
          <w:i/>
          <w:iCs/>
        </w:rPr>
        <w:t>AMA PRA Category 1 Credit(s)</w:t>
      </w:r>
      <w:r w:rsidRPr="00375DE1" w:rsidR="00375DE1">
        <w:rPr>
          <w:rFonts w:cs="Arial"/>
          <w:i/>
          <w:iCs/>
        </w:rPr>
        <w:t>™</w:t>
      </w:r>
      <w:r w:rsidRPr="004200C3">
        <w:rPr>
          <w:rFonts w:cs="Arial"/>
        </w:rPr>
        <w:t xml:space="preserve">. Physicians should </w:t>
      </w:r>
      <w:r w:rsidR="00516E3B">
        <w:rPr>
          <w:rFonts w:cs="Arial"/>
        </w:rPr>
        <w:t xml:space="preserve">claim only </w:t>
      </w:r>
      <w:r w:rsidRPr="004200C3">
        <w:rPr>
          <w:rFonts w:cs="Arial"/>
        </w:rPr>
        <w:t>the credit commensurate with the extent of their participation in the activity.</w:t>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ABIM MOC Part 2: Successful completion of this CME activity, which includes participation in the evaluation component, enables the participant to earn up to </w:instrText>
      </w:r>
      <w:r w:rsidRPr="004200C3">
        <w:rPr>
          <w:rFonts w:cs="Arial"/>
        </w:rPr>
        <w:fldChar w:fldCharType="begin"/>
      </w:r>
      <w:r w:rsidRPr="004200C3">
        <w:rPr>
          <w:rFonts w:cs="Arial"/>
        </w:rPr>
        <w:instrText xml:space="preserve"> MERGEFIELD ABIMMOC2Max \# 0.00# </w:instrText>
      </w:r>
      <w:r w:rsidRPr="004200C3">
        <w:rPr>
          <w:rFonts w:cs="Arial"/>
        </w:rPr>
        <w:fldChar w:fldCharType="separate"/>
      </w:r>
      <w:r w:rsidRPr="004200C3">
        <w:rPr>
          <w:rFonts w:cs="Arial"/>
        </w:rPr>
        <w:fldChar w:fldCharType="end"/>
      </w:r>
      <w:r w:rsidRPr="004200C3">
        <w:rPr>
          <w:rFonts w:cs="Arial"/>
        </w:rPr>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4200C3">
        <w:rPr>
          <w:rFonts w:cs="Arial"/>
        </w:rPr>
        <w:fldChar w:fldCharType="separate"/>
      </w:r>
      <w:r w:rsidRPr="004200C3">
        <w:rPr>
          <w:rFonts w:cs="Arial"/>
        </w:rPr>
        <w:fldChar w:fldCharType="end"/>
      </w:r>
      <w:r w:rsidRPr="004200C3">
        <w:rPr>
          <w:rFonts w:cs="Arial"/>
        </w:rPr>
        <w:fldChar w:fldCharType="begin"/>
      </w:r>
      <w:r w:rsidRPr="004200C3">
        <w:rPr>
          <w:rFonts w:cs="Arial"/>
        </w:rPr>
        <w:instrText xml:space="preserve"> IF </w:instrText>
      </w:r>
      <w:r w:rsidRPr="004200C3">
        <w:rPr>
          <w:rFonts w:cs="Arial"/>
        </w:rPr>
        <w:instrText>0.00</w:instrText>
      </w:r>
      <w:r w:rsidRPr="004200C3">
        <w:rPr>
          <w:rFonts w:cs="Arial"/>
        </w:rPr>
        <w:instrText xml:space="preserve"> &gt; 0 "</w:instrText>
      </w:r>
    </w:p>
    <w:p w:rsidR="004200C3" w:rsidRPr="004200C3" w:rsidP="004200C3">
      <w:pPr>
        <w:spacing w:line="240" w:lineRule="auto"/>
        <w:rPr>
          <w:rFonts w:cs="Arial"/>
        </w:rPr>
      </w:pPr>
      <w:r w:rsidRPr="004200C3">
        <w:rPr>
          <w:rFonts w:cs="Arial"/>
        </w:rPr>
        <w:instrText xml:space="preserve">ABS CC: Successful completion of this CME activity,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4200C3">
        <w:rPr>
          <w:rFonts w:cs="Arial"/>
        </w:rPr>
        <w:fldChar w:fldCharType="separate"/>
      </w:r>
      <w:r w:rsidRPr="004200C3">
        <w:rPr>
          <w:rFonts w:cs="Arial"/>
        </w:rPr>
        <w:fldChar w:fldCharType="end"/>
      </w:r>
    </w:p>
    <w:p w:rsidR="00CE6541" w:rsidRPr="0028578E" w:rsidP="00802EA0">
      <w:pPr>
        <w:spacing w:line="240" w:lineRule="auto"/>
        <w:rPr>
          <w:rFonts w:cs="Arial"/>
          <w:sz w:val="20"/>
          <w:szCs w:val="20"/>
        </w:rPr>
      </w:pPr>
    </w:p>
    <w:sectPr w:rsidSect="001946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B4D"/>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145</Words>
  <Characters>2163</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2304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Clayton, Michelle</cp:lastModifiedBy>
  <cp:revision>4</cp:revision>
  <dcterms:created xsi:type="dcterms:W3CDTF">2026-02-19T00:37:00Z</dcterms:created>
  <dcterms:modified xsi:type="dcterms:W3CDTF">2026-02-25T15:50:00Z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d87d5842cd70afe8b9cf581bf422cfcbc822beadda7edfc8b3083865ba3eee6d</vt:lpwstr>
  </property>
</Properties>
</file>