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EMPOWER ED</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05/07/2026 12:00 PM</w:t>
      </w:r>
      <w:r w:rsidRPr="003F5D69" w:rsidR="00FE207D">
        <w:rPr>
          <w:rFonts w:cs="Arial"/>
          <w:b/>
          <w:noProof/>
          <w:sz w:val="28"/>
          <w:szCs w:val="28"/>
        </w:rPr>
        <w:t xml:space="preserve"> </w:t>
      </w:r>
      <w:r w:rsidRPr="003F5D69">
        <w:rPr>
          <w:rFonts w:cs="Arial"/>
          <w:b/>
          <w:noProof/>
          <w:sz w:val="28"/>
          <w:szCs w:val="28"/>
        </w:rPr>
        <w:t>Detroit Athletic Club</w:t>
      </w:r>
    </w:p>
    <w:p w:rsidR="00B635C4" w:rsidRPr="003F5D69">
      <w:pPr>
        <w:bidi w:val="0"/>
        <w:spacing w:after="280" w:afterAutospacing="1"/>
        <w:rPr>
          <w:rFonts w:cs="Arial"/>
          <w:sz w:val="24"/>
        </w:rPr>
      </w:pPr>
      <w:r>
        <w:rPr>
          <w:rtl w:val="0"/>
        </w:rPr>
        <w:t>This conference, hosted at the Detroit Athletic Club, brings together women physicians and allies in emergency medicine for a half-day program featuring a keynote address and three interactive breakout sessions. Topics include leading with uncertainty, negotiations, financial wellness, and mentorship and career development, with a focus on professional growth, leadership, and connection.</w:t>
      </w:r>
    </w:p>
    <w:p>
      <w:pPr>
        <w:bidi w:val="0"/>
        <w:spacing w:after="280" w:afterAutospacing="1"/>
        <w:rPr>
          <w:rtl w:val="0"/>
        </w:rPr>
      </w:pPr>
      <w:r>
        <w:rPr>
          <w:rtl w:val="0"/>
        </w:rPr>
        <w:t xml:space="preserve">The Detroit Athletic Club expects that all guests abide by their dress code. Please plan to wear business attire while attending this conference. Additional information on the DAC dress code can be </w:t>
      </w:r>
      <w:r>
        <w:rPr>
          <w:rtl w:val="0"/>
        </w:rPr>
        <w:fldChar w:fldCharType="begin"/>
      </w:r>
      <w:r>
        <w:rPr>
          <w:rtl w:val="0"/>
        </w:rPr>
        <w:instrText xml:space="preserve"> HYPERLINK "https://www.thedac.com/_docs/dresscode.pdf" </w:instrText>
      </w:r>
      <w:r>
        <w:rPr>
          <w:rtl w:val="0"/>
        </w:rPr>
        <w:fldChar w:fldCharType="separate"/>
      </w:r>
      <w:r>
        <w:rPr>
          <w:color w:val="0000FF"/>
          <w:u w:val="single"/>
          <w:rtl w:val="0"/>
        </w:rPr>
        <w:t>reviewed here</w:t>
      </w:r>
      <w:r>
        <w:rPr>
          <w:rtl w:val="0"/>
        </w:rPr>
        <w:fldChar w:fldCharType="end"/>
      </w:r>
      <w:r>
        <w:rPr>
          <w:rtl w:val="0"/>
        </w:rPr>
        <w:t>.</w:t>
      </w:r>
    </w:p>
    <w:p>
      <w:pPr>
        <w:bidi w:val="0"/>
        <w:spacing w:after="280" w:afterAutospacing="1"/>
        <w:rPr>
          <w:rtl w:val="0"/>
        </w:rPr>
      </w:pPr>
      <w:r>
        <w:rPr>
          <w:rtl w:val="0"/>
        </w:rPr>
        <w:t>This event has limited capacity. Registration is required. Please email mclayto2@hfhs.org with questions.</w:t>
      </w:r>
    </w:p>
    <w:p w:rsidRPr="003F5D69">
      <w:pPr>
        <w:bidi w:val="0"/>
        <w:spacing w:after="280" w:afterAutospacing="1"/>
        <w:rPr>
          <w:rFonts w:cs="Arial"/>
        </w:rPr>
      </w:pP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Apply leadership strategies in uncertain or high-pressure clinical situations.</w:t>
      </w:r>
    </w:p>
    <w:p w:rsidRPr="003F5D69" w:rsidP="006A623D">
      <w:pPr>
        <w:spacing w:line="240" w:lineRule="auto"/>
        <w:rPr>
          <w:rFonts w:cs="Arial"/>
        </w:rPr>
      </w:pPr>
      <w:r w:rsidRPr="003F5D69">
        <w:rPr>
          <w:rFonts w:cs="Arial"/>
        </w:rPr>
        <w:t>2 Demonstrate negotiation and advocacy skills to support professional advancement.</w:t>
      </w:r>
    </w:p>
    <w:p w:rsidRPr="003F5D69" w:rsidP="006A623D">
      <w:pPr>
        <w:spacing w:line="240" w:lineRule="auto"/>
        <w:rPr>
          <w:rFonts w:cs="Arial"/>
        </w:rPr>
      </w:pPr>
      <w:r w:rsidRPr="003F5D69">
        <w:rPr>
          <w:rFonts w:cs="Arial"/>
        </w:rPr>
        <w:t>3 Implement financial wellness practices relevant to physicians.</w:t>
      </w:r>
    </w:p>
    <w:p w:rsidRPr="003F5D69" w:rsidP="006A623D">
      <w:pPr>
        <w:spacing w:line="240" w:lineRule="auto"/>
        <w:rPr>
          <w:rFonts w:cs="Arial"/>
        </w:rPr>
      </w:pPr>
      <w:r w:rsidRPr="003F5D69">
        <w:rPr>
          <w:rFonts w:cs="Arial"/>
        </w:rPr>
        <w:t>4 Develop a personal mentorship and career development plan.</w:t>
      </w:r>
    </w:p>
    <w:p w:rsidR="003729D7" w:rsidRPr="00516E3B"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Emergency Medicine</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Jessalyn Brugnoni,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 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Clayton,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Correa,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Adrianne Haggins,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Eveline Hitti,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Jakacki,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Joy, BA, Certified Financial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 Klekowski,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Messman,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Savage,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bl>
    <w:p w:rsidR="0028578E">
      <w:pPr>
        <w:bidi w:val="0"/>
        <w:spacing w:after="280" w:afterAutospacing="1"/>
        <w:rPr>
          <w:rFonts w:cs="Arial"/>
          <w:noProof/>
          <w:sz w:val="24"/>
          <w:szCs w:val="24"/>
        </w:rPr>
      </w:pPr>
    </w:p>
    <w:p w:rsidR="00375DE1" w:rsidP="00EB5B29">
      <w:pPr>
        <w:spacing w:after="0" w:line="240" w:lineRule="auto"/>
        <w:rPr>
          <w:rFonts w:cs="Arial"/>
          <w:noProof/>
          <w:sz w:val="24"/>
          <w:szCs w:val="24"/>
        </w:rPr>
      </w:pPr>
      <w:r w:rsidRPr="14552B97">
        <w:rPr>
          <w:rFonts w:cs="Arial"/>
          <w:noProof/>
        </w:rPr>
        <w:t>All relevant financial relationships have been mitigated prior to the commencement of this activity.</w:t>
      </w:r>
    </w:p>
    <w:p w:rsidR="009166FF" w:rsidRPr="00EB5B29" w:rsidP="00EB5B29">
      <w:pPr>
        <w:spacing w:after="0" w:line="240" w:lineRule="auto"/>
        <w:rPr>
          <w:rFonts w:cs="Arial"/>
          <w:b/>
          <w:bCs/>
          <w:noProof/>
          <w:sz w:val="24"/>
          <w:szCs w:val="24"/>
        </w:rPr>
      </w:pP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w:t>
      </w:r>
      <w:r w:rsidR="001E25C8">
        <w:rPr>
          <w:rFonts w:cs="Arial"/>
        </w:rPr>
        <w:t xml:space="preserve"> (ACCME)</w:t>
      </w:r>
      <w:r w:rsidRPr="14552B97">
        <w:rPr>
          <w:rFonts w:cs="Arial"/>
        </w:rPr>
        <w:t xml:space="preserve">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 xml:space="preserve">Henry Ford Health designates this </w:t>
      </w:r>
      <w:r w:rsidRPr="00EB5B29" w:rsidR="00A76EBE">
        <w:rPr>
          <w:rFonts w:cs="Arial"/>
          <w:noProof/>
        </w:rPr>
        <w:t>Live Activity</w:t>
      </w:r>
      <w:r w:rsidRPr="004200C3">
        <w:rPr>
          <w:rFonts w:cs="Arial"/>
        </w:rPr>
        <w:t xml:space="preserve"> for a maximum of </w:t>
      </w:r>
      <w:r w:rsidRPr="004200C3">
        <w:rPr>
          <w:rFonts w:cs="Arial"/>
          <w:noProof/>
        </w:rPr>
        <w:t>2.75</w:t>
      </w:r>
      <w:r w:rsidRPr="004200C3">
        <w:rPr>
          <w:rFonts w:cs="Arial"/>
        </w:rPr>
        <w:t> </w:t>
      </w:r>
      <w:r w:rsidRPr="004200C3">
        <w:rPr>
          <w:rFonts w:cs="Arial"/>
          <w:i/>
          <w:iCs/>
        </w:rPr>
        <w:t>AMA PRA Category 1 Credit(s)</w:t>
      </w:r>
      <w:r w:rsidRPr="00375DE1" w:rsidR="00375DE1">
        <w:rPr>
          <w:rFonts w:cs="Arial"/>
          <w:i/>
          <w:iCs/>
        </w:rPr>
        <w:t>™</w:t>
      </w:r>
      <w:r w:rsidRPr="004200C3">
        <w:rPr>
          <w:rFonts w:cs="Arial"/>
        </w:rPr>
        <w:t xml:space="preserve">. Physicians should </w:t>
      </w:r>
      <w:r w:rsidR="00516E3B">
        <w:rPr>
          <w:rFonts w:cs="Arial"/>
        </w:rPr>
        <w:t xml:space="preserve">claim only </w:t>
      </w:r>
      <w:r w:rsidRPr="004200C3">
        <w:rPr>
          <w:rFonts w:cs="Arial"/>
        </w:rPr>
        <w:t>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fldChar w:fldCharType="begin"/>
      </w:r>
      <w:r w:rsidRPr="004200C3">
        <w:rPr>
          <w:rFonts w:cs="Arial"/>
        </w:rPr>
        <w:instrText xml:space="preserve"> MERGEFIELD ABIMMOC2Max \# 0.00# </w:instrText>
      </w:r>
      <w:r w:rsidRPr="004200C3">
        <w:rPr>
          <w:rFonts w:cs="Arial"/>
        </w:rPr>
        <w:fldChar w:fldCharType="separate"/>
      </w:r>
      <w:r w:rsidRPr="004200C3">
        <w:rPr>
          <w:rFonts w:cs="Arial"/>
        </w:rPr>
        <w:fldChar w:fldCharType="end"/>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2163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Clayton, Michelle</cp:lastModifiedBy>
  <cp:revision>4</cp:revision>
  <dcterms:created xsi:type="dcterms:W3CDTF">2026-02-19T00:37:00Z</dcterms:created>
  <dcterms:modified xsi:type="dcterms:W3CDTF">2026-02-25T15:50:00Z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