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POCUS (International Point of Care Ultrasound) - March 23-24, 2026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03/23/2026 7:30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The International Point-of-Care (POC) course has been uniquely developed to promote educational excellence in POC ultrasound for residents, fellows, practicing physicians and mid-level providers in various clinical settings. This course will provide participants with a unique opportunity to develop basic and advanced skills in POC ultrasound in a state-of-the-art simulation center at the Henry Ford Hospital. The course has been designed to meet the educational goals for both beginners and those with more advanced skills, using an evidence-based approach and standard ultrasound imaging protocols. You will also have an opportunity to work closely with expert faculty throughout the course. Participants will also have access to an excellent pocket book focusing on all commonly used applications for POC ultrasound, and ample opportunity for hands-on small group scanning to improve image acquisition and interpretation skills.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Become familiar with an ultrasound user interface and demonstrate a basic understanding of ultrasound physics and imaging principles.</w:t>
      </w:r>
    </w:p>
    <w:p w:rsidRPr="003F5D69" w:rsidP="006A623D">
      <w:pPr>
        <w:spacing w:line="240" w:lineRule="auto"/>
        <w:rPr>
          <w:rFonts w:cs="Arial"/>
        </w:rPr>
      </w:pPr>
      <w:r w:rsidRPr="003F5D69">
        <w:rPr>
          <w:rFonts w:cs="Arial"/>
        </w:rPr>
        <w:t>2 Become familiar with proper transducer orientation for various POC ultrasound applications, and describe accurately terminology used during image acquisition, including tilting, rocking, fanning, rotating, sliding etc.</w:t>
      </w:r>
    </w:p>
    <w:p w:rsidRPr="003F5D69" w:rsidP="006A623D">
      <w:pPr>
        <w:spacing w:line="240" w:lineRule="auto"/>
        <w:rPr>
          <w:rFonts w:cs="Arial"/>
        </w:rPr>
      </w:pPr>
      <w:r w:rsidRPr="003F5D69">
        <w:rPr>
          <w:rFonts w:cs="Arial"/>
        </w:rPr>
        <w:t>3 Develop a basic scanning protocol for various POC imaging applications including, vascular, cardiac, biliary, pulmonary, abdominal, trauma, and obstetrics ultrasound</w:t>
      </w:r>
    </w:p>
    <w:p w:rsidRPr="003F5D69" w:rsidP="006A623D">
      <w:pPr>
        <w:spacing w:line="240" w:lineRule="auto"/>
        <w:rPr>
          <w:rFonts w:cs="Arial"/>
        </w:rPr>
      </w:pPr>
      <w:r w:rsidRPr="003F5D69">
        <w:rPr>
          <w:rFonts w:cs="Arial"/>
        </w:rPr>
        <w:t>4 Demonstrate an ability to perform ultrasound-guided procedures including vascular access, paracentesis, and thoracentesis</w:t>
      </w:r>
    </w:p>
    <w:p w:rsidRPr="003F5D69" w:rsidP="006A623D">
      <w:pPr>
        <w:spacing w:line="240" w:lineRule="auto"/>
        <w:rPr>
          <w:rFonts w:cs="Arial"/>
        </w:rPr>
      </w:pPr>
      <w:r w:rsidRPr="003F5D69">
        <w:rPr>
          <w:rFonts w:cs="Arial"/>
        </w:rPr>
        <w:t>5 Demonstrate the ability to perform a focused ultrasound examination during the evaluation of critically ill patients with shock / hypotension</w:t>
      </w:r>
    </w:p>
    <w:p w:rsidRPr="003F5D69" w:rsidP="006A623D">
      <w:pPr>
        <w:spacing w:line="240" w:lineRule="auto"/>
        <w:rPr>
          <w:rFonts w:cs="Arial"/>
        </w:rPr>
      </w:pPr>
      <w:r w:rsidRPr="003F5D69">
        <w:rPr>
          <w:rFonts w:cs="Arial"/>
        </w:rPr>
        <w:t>6 Recognize ultrasound imaging artifacts, and discuss their role in image interpretation</w:t>
      </w:r>
    </w:p>
    <w:p w:rsidRPr="003F5D69" w:rsidP="006A623D">
      <w:pPr>
        <w:spacing w:line="240" w:lineRule="auto"/>
        <w:rPr>
          <w:rFonts w:cs="Arial"/>
        </w:rPr>
      </w:pPr>
      <w:r w:rsidRPr="003F5D69">
        <w:rPr>
          <w:rFonts w:cs="Arial"/>
        </w:rPr>
        <w:t>7 Explain some of the imaging pitfalls and discuss how they may affect accurate interpretation of POC ultrasound studies</w:t>
      </w:r>
    </w:p>
    <w:p w:rsidRPr="003F5D69" w:rsidP="006A623D">
      <w:pPr>
        <w:spacing w:line="240" w:lineRule="auto"/>
        <w:rPr>
          <w:rFonts w:cs="Arial"/>
        </w:rPr>
      </w:pPr>
      <w:r w:rsidRPr="003F5D69">
        <w:rPr>
          <w:rFonts w:cs="Arial"/>
        </w:rPr>
        <w:t>8 Define the ALARA principle, and discuss its role in ultrasonography</w:t>
      </w:r>
    </w:p>
    <w:p w:rsidRPr="003F5D69" w:rsidP="006A623D">
      <w:pPr>
        <w:spacing w:line="240" w:lineRule="auto"/>
        <w:rPr>
          <w:rFonts w:cs="Arial"/>
        </w:rPr>
      </w:pPr>
      <w:r w:rsidRPr="003F5D69">
        <w:rPr>
          <w:rFonts w:cs="Arial"/>
        </w:rPr>
        <w:t>9 Recognize abnormal ultrasound images and discuss how they may impact clinical decision making</w:t>
      </w:r>
    </w:p>
    <w:p w:rsidR="003729D7" w:rsidRPr="00516E3B"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 Internal Medicine, Emergency Medicine, Family Medicine, Internal Medicine, Surgery, Emergency Medicine/Internal Medicine/Critical Care, Em Ultrasound, Critical Care Medicine, Surgical Critical Care</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Bissonette,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Nigel J Bowe,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Abigail Brackney,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Clark,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Fee-Exo Inc (Relationship has ended)|Stocks or stock options, excluding diversified mutual funds-Vantari VR|Membership on Advisory Committees or Review Panels, Board Membership, etc.-Vantari VR - 03/04/2026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Dowers,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Gaines,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Joseph,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 K Khanna,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Kristofer Montoya,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Ahmed Naseem, MD, Society of critical care ultrasound fellowship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- 07/29/2025</w:t>
            </w:r>
          </w:p>
        </w:tc>
      </w:tr>
    </w:tbl>
    <w:p w:rsidR="0028578E">
      <w:pPr>
        <w:bidi w:val="0"/>
        <w:spacing w:after="280" w:afterAutospacing="1"/>
        <w:rPr>
          <w:rFonts w:cs="Arial"/>
          <w:noProof/>
          <w:sz w:val="24"/>
          <w:szCs w:val="24"/>
        </w:rPr>
      </w:pPr>
    </w:p>
    <w:p w:rsidR="00375DE1" w:rsidP="00EB5B29">
      <w:pPr>
        <w:spacing w:after="0" w:line="240" w:lineRule="auto"/>
        <w:rPr>
          <w:rFonts w:cs="Arial"/>
          <w:noProof/>
          <w:sz w:val="24"/>
          <w:szCs w:val="24"/>
        </w:rPr>
      </w:pPr>
      <w:r w:rsidRPr="14552B97">
        <w:rPr>
          <w:rFonts w:cs="Arial"/>
          <w:noProof/>
        </w:rPr>
        <w:t>All relevant financial relationships have been mitigated prior to the commencement of this activity.</w:t>
      </w:r>
    </w:p>
    <w:p w:rsidR="009166FF" w:rsidRPr="00EB5B29" w:rsidP="00EB5B29">
      <w:pPr>
        <w:spacing w:after="0" w:line="240" w:lineRule="auto"/>
        <w:rPr>
          <w:rFonts w:cs="Arial"/>
          <w:b/>
          <w:bCs/>
          <w:noProof/>
          <w:sz w:val="24"/>
          <w:szCs w:val="24"/>
        </w:rPr>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w:t>
      </w:r>
      <w:r w:rsidR="001E25C8">
        <w:rPr>
          <w:rFonts w:cs="Arial"/>
        </w:rPr>
        <w:t xml:space="preserve"> (ACCME)</w:t>
      </w:r>
      <w:r w:rsidRPr="14552B97">
        <w:rPr>
          <w:rFonts w:cs="Arial"/>
        </w:rPr>
        <w:t xml:space="preserve">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 xml:space="preserve">Henry Ford Health designates this </w:t>
      </w:r>
      <w:r w:rsidRPr="00EB5B29" w:rsidR="00A76EBE">
        <w:rPr>
          <w:rFonts w:cs="Arial"/>
          <w:noProof/>
        </w:rPr>
        <w:t>Live Activity</w:t>
      </w:r>
      <w:r w:rsidRPr="004200C3">
        <w:rPr>
          <w:rFonts w:cs="Arial"/>
        </w:rPr>
        <w:t xml:space="preserve"> for a maximum of </w:t>
      </w:r>
      <w:r w:rsidRPr="004200C3">
        <w:rPr>
          <w:rFonts w:cs="Arial"/>
          <w:noProof/>
        </w:rPr>
        <w:t>14.50</w:t>
      </w:r>
      <w:r w:rsidRPr="004200C3">
        <w:rPr>
          <w:rFonts w:cs="Arial"/>
        </w:rPr>
        <w:t> </w:t>
      </w:r>
      <w:r w:rsidRPr="004200C3">
        <w:rPr>
          <w:rFonts w:cs="Arial"/>
          <w:i/>
          <w:iCs/>
        </w:rPr>
        <w:t>AMA PRA Category 1 Credit(s)</w:t>
      </w:r>
      <w:r w:rsidRPr="00375DE1" w:rsidR="00375DE1">
        <w:rPr>
          <w:rFonts w:cs="Arial"/>
          <w:i/>
          <w:iCs/>
        </w:rPr>
        <w:t>™</w:t>
      </w:r>
      <w:r w:rsidRPr="004200C3">
        <w:rPr>
          <w:rFonts w:cs="Arial"/>
        </w:rPr>
        <w:t xml:space="preserve">. Physicians should </w:t>
      </w:r>
      <w:r w:rsidR="00516E3B">
        <w:rPr>
          <w:rFonts w:cs="Arial"/>
        </w:rPr>
        <w:t xml:space="preserve">claim only </w:t>
      </w:r>
      <w:r w:rsidRPr="004200C3">
        <w:rPr>
          <w:rFonts w:cs="Arial"/>
        </w:rPr>
        <w:t>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fldChar w:fldCharType="begin"/>
      </w:r>
      <w:r w:rsidRPr="004200C3">
        <w:rPr>
          <w:rFonts w:cs="Arial"/>
        </w:rPr>
        <w:instrText xml:space="preserve"> MERGEFIELD ABIMMOC2Max \# 0.00# </w:instrText>
      </w:r>
      <w:r w:rsidRPr="004200C3">
        <w:rPr>
          <w:rFonts w:cs="Arial"/>
        </w:rPr>
        <w:fldChar w:fldCharType="separate"/>
      </w:r>
      <w:r w:rsidRPr="004200C3">
        <w:rPr>
          <w:rFonts w:cs="Arial"/>
        </w:rPr>
        <w:fldChar w:fldCharType="end"/>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2163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Clayton, Michelle</cp:lastModifiedBy>
  <cp:revision>4</cp:revision>
  <dcterms:created xsi:type="dcterms:W3CDTF">2026-02-19T00:37:00Z</dcterms:created>
  <dcterms:modified xsi:type="dcterms:W3CDTF">2026-02-25T15:50:00Z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