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04B48" w:rsidRPr="003F5D69" w:rsidP="007A7979">
      <w:pPr>
        <w:spacing w:line="240" w:lineRule="auto"/>
        <w:jc w:val="center"/>
        <w:rPr>
          <w:rFonts w:cs="Arial"/>
          <w:b/>
          <w:noProof/>
          <w:sz w:val="28"/>
          <w:szCs w:val="28"/>
        </w:rPr>
      </w:pPr>
      <w:r>
        <w:rPr>
          <w:noProof/>
        </w:rPr>
        <w:drawing>
          <wp:inline distT="0" distB="0" distL="0" distR="0">
            <wp:extent cx="4591050" cy="293317"/>
            <wp:effectExtent l="0" t="0" r="0" b="0"/>
            <wp:docPr id="5436688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668878" name="Picture 543668878"/>
                    <pic:cNvPicPr/>
                  </pic:nvPicPr>
                  <pic:blipFill>
                    <a:blip xmlns:r="http://schemas.openxmlformats.org/officeDocument/2006/relationships" r:embed="rId4">
                      <a:extLst>
                        <a:ext uri="{28A0092B-C50C-407E-A947-70E740481C1C}">
                          <a14:useLocalDpi xmlns:a14="http://schemas.microsoft.com/office/drawing/2010/main"/>
                        </a:ext>
                      </a:extLst>
                    </a:blip>
                    <a:stretch>
                      <a:fillRect/>
                    </a:stretch>
                  </pic:blipFill>
                  <pic:spPr>
                    <a:xfrm>
                      <a:off x="0" y="0"/>
                      <a:ext cx="4591050" cy="293317"/>
                    </a:xfrm>
                    <a:prstGeom prst="rect">
                      <a:avLst/>
                    </a:prstGeom>
                  </pic:spPr>
                </pic:pic>
              </a:graphicData>
            </a:graphic>
          </wp:inline>
        </w:drawing>
      </w:r>
      <w:r w:rsidRPr="003F5D69" w:rsidR="004D5DAE">
        <w:rPr>
          <w:rFonts w:cs="Arial"/>
        </w:rPr>
        <w:br/>
      </w:r>
      <w:r w:rsidRPr="003F5D69" w:rsidR="007B0FAA">
        <w:rPr>
          <w:rFonts w:cs="Arial"/>
          <w:b/>
          <w:color w:val="31849B" w:themeColor="accent5" w:themeShade="BF"/>
          <w:sz w:val="28"/>
          <w:szCs w:val="28"/>
        </w:rPr>
        <w:br/>
      </w:r>
      <w:r w:rsidRPr="003F5D69" w:rsidR="005220D6">
        <w:rPr>
          <w:rFonts w:cs="Arial"/>
          <w:b/>
          <w:bCs/>
          <w:sz w:val="28"/>
          <w:szCs w:val="28"/>
        </w:rPr>
        <w:t>USGPIV (Ultrasound Guided Peripheral IV Access) - 9/30/26</w:t>
      </w:r>
      <w:r w:rsidRPr="003F5D69" w:rsidR="00993B4D">
        <w:rPr>
          <w:rFonts w:cs="Arial"/>
          <w:b/>
          <w:noProof/>
          <w:sz w:val="28"/>
          <w:szCs w:val="28"/>
        </w:rPr>
        <w:t xml:space="preserve"> </w:t>
      </w:r>
      <w:r w:rsidRPr="003F5D69" w:rsidR="005220D6">
        <w:rPr>
          <w:rFonts w:cs="Arial"/>
          <w:b/>
          <w:noProof/>
          <w:sz w:val="28"/>
          <w:szCs w:val="28"/>
        </w:rPr>
        <w:t xml:space="preserve">| </w:t>
      </w:r>
      <w:r w:rsidRPr="003F5D69" w:rsidR="005220D6">
        <w:rPr>
          <w:rFonts w:cs="Arial"/>
          <w:b/>
          <w:noProof/>
          <w:sz w:val="28"/>
          <w:szCs w:val="28"/>
        </w:rPr>
        <w:t>09/30/2026 1:00 PM</w:t>
      </w:r>
      <w:r w:rsidRPr="003F5D69" w:rsidR="00FE207D">
        <w:rPr>
          <w:rFonts w:cs="Arial"/>
          <w:b/>
          <w:noProof/>
          <w:sz w:val="28"/>
          <w:szCs w:val="28"/>
        </w:rPr>
        <w:t xml:space="preserve"> </w:t>
      </w:r>
      <w:r w:rsidRPr="003F5D69">
        <w:rPr>
          <w:rFonts w:cs="Arial"/>
          <w:b/>
          <w:noProof/>
          <w:sz w:val="28"/>
          <w:szCs w:val="28"/>
        </w:rPr>
        <w:t>HFH - Detroit - Simulation Center</w:t>
      </w:r>
    </w:p>
    <w:p w:rsidR="00B635C4" w:rsidRPr="003F5D69" w:rsidP="006A623D">
      <w:pPr>
        <w:spacing w:line="240" w:lineRule="auto"/>
        <w:rPr>
          <w:rFonts w:cs="Arial"/>
          <w:sz w:val="24"/>
        </w:rPr>
      </w:pPr>
      <w:r>
        <w:rPr>
          <w:rtl w:val="0"/>
        </w:rPr>
        <w:t>This 3-hour course will consist of basic ultrasound physics and advanced vascular access techniques for physicians, advance practice providers and nurses with experience in IV placement and who are interested in learning advanced venous access techniques using ultrasound guidance. Participants will practice on a vascular access arm phantom.</w:t>
      </w:r>
    </w:p>
    <w:p w:rsidR="00815BB5" w:rsidRPr="003F5D69" w:rsidP="006A623D">
      <w:pPr>
        <w:spacing w:line="240" w:lineRule="auto"/>
        <w:rPr>
          <w:rFonts w:cs="Arial"/>
          <w:b/>
          <w:sz w:val="24"/>
          <w:szCs w:val="24"/>
        </w:rPr>
      </w:pPr>
      <w:r w:rsidRPr="003F5D69">
        <w:rPr>
          <w:rFonts w:cs="Arial"/>
          <w:b/>
          <w:sz w:val="24"/>
          <w:szCs w:val="24"/>
        </w:rPr>
        <w:t>Program Goal</w:t>
      </w:r>
    </w:p>
    <w:p w:rsidR="00993B4D" w:rsidRPr="003F5D69" w:rsidP="006A623D">
      <w:pPr>
        <w:spacing w:line="240" w:lineRule="auto"/>
        <w:rPr>
          <w:rFonts w:cs="Arial"/>
          <w:color w:val="000000" w:themeColor="text1"/>
          <w:sz w:val="24"/>
          <w:szCs w:val="24"/>
        </w:rPr>
      </w:pPr>
      <w:r w:rsidRPr="003F5D69">
        <w:rPr>
          <w:rFonts w:cs="Arial"/>
        </w:rPr>
        <w:t>1 Verbalize indications for use of bedside ultrasonography for peripheral IV access</w:t>
      </w:r>
    </w:p>
    <w:p w:rsidRPr="003F5D69" w:rsidP="006A623D">
      <w:pPr>
        <w:spacing w:line="240" w:lineRule="auto"/>
        <w:rPr>
          <w:rFonts w:cs="Arial"/>
        </w:rPr>
      </w:pPr>
      <w:r w:rsidRPr="003F5D69">
        <w:rPr>
          <w:rFonts w:cs="Arial"/>
        </w:rPr>
        <w:t>2 Demonstrate the ability to obtain ultrasound images of peripheral veins in the arm</w:t>
      </w:r>
    </w:p>
    <w:p w:rsidRPr="003F5D69" w:rsidP="006A623D">
      <w:pPr>
        <w:spacing w:line="240" w:lineRule="auto"/>
        <w:rPr>
          <w:rFonts w:cs="Arial"/>
        </w:rPr>
      </w:pPr>
      <w:r w:rsidRPr="003F5D69">
        <w:rPr>
          <w:rFonts w:cs="Arial"/>
        </w:rPr>
        <w:t>3 Demonstrate the ability to access a peripheral vein in short and long axes using real-time ultrasound or direct visualization.</w:t>
      </w:r>
    </w:p>
    <w:p w:rsidR="003729D7" w:rsidRPr="00516E3B" w:rsidP="00CC477A">
      <w:pPr>
        <w:spacing w:line="240" w:lineRule="auto"/>
        <w:rPr>
          <w:rFonts w:cs="Arial"/>
          <w:b/>
          <w:sz w:val="24"/>
          <w:szCs w:val="24"/>
        </w:rPr>
      </w:pPr>
      <w:r w:rsidRPr="003F5D69">
        <w:rPr>
          <w:rFonts w:cs="Arial"/>
          <w:b/>
          <w:sz w:val="24"/>
          <w:szCs w:val="24"/>
        </w:rPr>
        <w:t>Target Audience</w:t>
      </w:r>
      <w:r w:rsidRPr="003F5D69" w:rsidR="00E04B48">
        <w:rPr>
          <w:rFonts w:cs="Arial"/>
          <w:b/>
          <w:sz w:val="24"/>
          <w:szCs w:val="24"/>
        </w:rPr>
        <w:t xml:space="preserve"> </w:t>
      </w:r>
      <w:r w:rsidRPr="003F5D69" w:rsidR="00BE6F87">
        <w:rPr>
          <w:rFonts w:cs="Arial"/>
        </w:rPr>
        <w:t>Emergency Medicine/Internal Medicine/Critical Care</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Kenan Alhayek,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Abigail Brackney,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Crystal M Gyiraszin,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 Reviewer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Monica Mikhael, DO-Fellow</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Christina Miller,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 Specialist</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- 11/19/2025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Andrew J Park,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- 11/22/2025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Mikyla Reesor,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Kristopher Wong,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bl>
    <w:p w:rsidR="0028578E">
      <w:pPr>
        <w:rPr>
          <w:rFonts w:cs="Arial"/>
          <w:noProof/>
          <w:sz w:val="24"/>
          <w:szCs w:val="24"/>
        </w:rPr>
      </w:pPr>
    </w:p>
    <w:p w:rsidR="00375DE1" w:rsidP="00EB5B29">
      <w:pPr>
        <w:spacing w:after="0" w:line="240" w:lineRule="auto"/>
        <w:rPr>
          <w:rFonts w:cs="Arial"/>
          <w:noProof/>
          <w:sz w:val="24"/>
          <w:szCs w:val="24"/>
        </w:rPr>
      </w:pPr>
      <w:r w:rsidRPr="14552B97">
        <w:rPr>
          <w:rFonts w:cs="Arial"/>
          <w:noProof/>
        </w:rPr>
        <w:t>All relevant financial relationships have been mitigated prior to the commencement of this activity.</w:t>
      </w:r>
    </w:p>
    <w:p w:rsidR="009166FF" w:rsidRPr="00EB5B29" w:rsidP="00EB5B29">
      <w:pPr>
        <w:spacing w:after="0" w:line="240" w:lineRule="auto"/>
        <w:rPr>
          <w:rFonts w:cs="Arial"/>
          <w:b/>
          <w:bCs/>
          <w:noProof/>
          <w:sz w:val="24"/>
          <w:szCs w:val="24"/>
        </w:rPr>
      </w:pPr>
    </w:p>
    <w:p w:rsidR="00CE6541" w:rsidRPr="00BC1050" w:rsidP="00CE6541">
      <w:pPr>
        <w:spacing w:after="0" w:line="240" w:lineRule="auto"/>
        <w:rPr>
          <w:rFonts w:cs="Arial"/>
          <w:b/>
          <w:bCs/>
          <w:noProof/>
        </w:rPr>
      </w:pPr>
      <w:bookmarkStart w:id="0" w:name="_Hlk216710071"/>
      <w:r w:rsidRPr="14552B97">
        <w:rPr>
          <w:rFonts w:cs="Arial"/>
          <w:b/>
          <w:bCs/>
          <w:noProof/>
        </w:rPr>
        <w:t xml:space="preserve">MITIGATION OF RELEVANT FINANCIAL RELATIONSHIPS: </w:t>
      </w:r>
      <w:r w:rsidRPr="14552B97">
        <w:rPr>
          <w:rFonts w:cs="Arial"/>
          <w:noProof/>
        </w:rPr>
        <w:t>Henry Ford Health adheres to the ACCME’s Standards for Integrity and Independence in Accredited Continuing Education. Henry Ford Health has implemented mechanisms to identify and mitigate financial relationships with ineligible companies for all individuals in a position to control content of this activity. All relevant financial relationships have been mitigated prior to the commencement of this activity.</w:t>
      </w:r>
    </w:p>
    <w:p w:rsidR="00CE6541" w:rsidRPr="00BC1050" w:rsidP="00CE6541">
      <w:pPr>
        <w:spacing w:after="0" w:line="240" w:lineRule="auto"/>
        <w:rPr>
          <w:rFonts w:cs="Arial"/>
          <w:b/>
          <w:bCs/>
        </w:rPr>
      </w:pPr>
      <w:bookmarkEnd w:id="0"/>
    </w:p>
    <w:p w:rsidR="00CE6541" w:rsidRPr="00BC1050" w:rsidP="00CE6541">
      <w:pPr>
        <w:spacing w:line="240" w:lineRule="auto"/>
        <w:rPr>
          <w:rFonts w:cs="Arial"/>
          <w:b/>
          <w:bCs/>
        </w:rPr>
      </w:pPr>
      <w:r w:rsidRPr="14552B97">
        <w:rPr>
          <w:rFonts w:cs="Arial"/>
          <w:b/>
          <w:bCs/>
        </w:rPr>
        <w:t xml:space="preserve">ACCREDITATION STATEMENT: </w:t>
      </w:r>
      <w:r w:rsidRPr="14552B97">
        <w:rPr>
          <w:rFonts w:cs="Arial"/>
        </w:rPr>
        <w:t>Henry Ford Health is accredited by the Accreditation Council for Continuing Medical Education</w:t>
      </w:r>
      <w:r w:rsidR="001E25C8">
        <w:rPr>
          <w:rFonts w:cs="Arial"/>
        </w:rPr>
        <w:t xml:space="preserve"> (ACCME)</w:t>
      </w:r>
      <w:r w:rsidRPr="14552B97">
        <w:rPr>
          <w:rFonts w:cs="Arial"/>
        </w:rPr>
        <w:t xml:space="preserve"> to provide continuing medical education for physicians. </w:t>
      </w:r>
    </w:p>
    <w:p w:rsidR="004200C3" w:rsidRPr="004200C3" w:rsidP="004200C3">
      <w:pPr>
        <w:spacing w:line="240" w:lineRule="auto"/>
        <w:rPr>
          <w:rFonts w:cs="Arial"/>
          <w:b/>
          <w:bCs/>
        </w:rPr>
      </w:pPr>
      <w:r w:rsidRPr="004200C3">
        <w:rPr>
          <w:rFonts w:cs="Arial"/>
          <w:b/>
          <w:bCs/>
        </w:rPr>
        <w:t>DESIGNATION STATEMENT</w:t>
      </w:r>
      <w:r w:rsidRPr="003F5D69">
        <w:rPr>
          <w:rFonts w:cs="Arial"/>
          <w:b/>
          <w:bCs/>
          <w:sz w:val="20"/>
          <w:szCs w:val="20"/>
        </w:rPr>
        <w:t>:</w:t>
      </w:r>
      <w:r w:rsidRPr="003F5D69">
        <w:rPr>
          <w:b/>
          <w:bCs/>
          <w:sz w:val="20"/>
          <w:szCs w:val="20"/>
        </w:rPr>
        <w:t xml:space="preserve"> </w:t>
      </w:r>
      <w:r w:rsidRPr="004200C3">
        <w:rPr>
          <w:rFonts w:cs="Arial"/>
        </w:rPr>
        <w:t xml:space="preserve">Henry Ford Health designates this </w:t>
      </w:r>
      <w:r w:rsidRPr="00EB5B29" w:rsidR="00A76EBE">
        <w:rPr>
          <w:rFonts w:cs="Arial"/>
          <w:noProof/>
        </w:rPr>
        <w:t>Live Activity</w:t>
      </w:r>
      <w:r w:rsidRPr="004200C3">
        <w:rPr>
          <w:rFonts w:cs="Arial"/>
        </w:rPr>
        <w:t xml:space="preserve"> for a maximum of </w:t>
      </w:r>
      <w:r w:rsidRPr="004200C3">
        <w:rPr>
          <w:rFonts w:cs="Arial"/>
          <w:noProof/>
        </w:rPr>
        <w:t>3.00</w:t>
      </w:r>
      <w:r w:rsidRPr="004200C3">
        <w:rPr>
          <w:rFonts w:cs="Arial"/>
        </w:rPr>
        <w:t> </w:t>
      </w:r>
      <w:r w:rsidRPr="004200C3">
        <w:rPr>
          <w:rFonts w:cs="Arial"/>
          <w:i/>
          <w:iCs/>
        </w:rPr>
        <w:t>AMA PRA Category 1 Credit(s)</w:t>
      </w:r>
      <w:r w:rsidRPr="00375DE1" w:rsidR="00375DE1">
        <w:rPr>
          <w:rFonts w:cs="Arial"/>
          <w:i/>
          <w:iCs/>
        </w:rPr>
        <w:t>™</w:t>
      </w:r>
      <w:r w:rsidRPr="004200C3">
        <w:rPr>
          <w:rFonts w:cs="Arial"/>
        </w:rPr>
        <w:t xml:space="preserve">. Physicians should </w:t>
      </w:r>
      <w:r w:rsidR="00516E3B">
        <w:rPr>
          <w:rFonts w:cs="Arial"/>
        </w:rPr>
        <w:t xml:space="preserve">claim only </w:t>
      </w:r>
      <w:r w:rsidRPr="004200C3">
        <w:rPr>
          <w:rFonts w:cs="Arial"/>
        </w:rPr>
        <w:t>the credit commensurate with the extent of their participation in the activity.</w:t>
      </w:r>
      <w:r w:rsidRPr="004200C3">
        <w:rPr>
          <w:rFonts w:cs="Arial"/>
        </w:rPr>
        <w:fldChar w:fldCharType="begin"/>
      </w:r>
      <w:r w:rsidRPr="004200C3">
        <w:rPr>
          <w:rFonts w:cs="Arial"/>
        </w:rPr>
        <w:instrText xml:space="preserve"> IF </w:instrText>
      </w:r>
      <w:r w:rsidRPr="004200C3">
        <w:rPr>
          <w:rFonts w:cs="Arial"/>
        </w:rPr>
        <w:instrText>0.00</w:instrText>
      </w:r>
      <w:r w:rsidRPr="004200C3">
        <w:rPr>
          <w:rFonts w:cs="Arial"/>
        </w:rPr>
        <w:instrText xml:space="preserve"> &gt; 0 "</w:instrText>
      </w:r>
    </w:p>
    <w:p w:rsidR="004200C3" w:rsidRPr="004200C3" w:rsidP="004200C3">
      <w:pPr>
        <w:spacing w:line="240" w:lineRule="auto"/>
        <w:rPr>
          <w:rFonts w:cs="Arial"/>
        </w:rPr>
      </w:pPr>
      <w:r w:rsidRPr="004200C3">
        <w:rPr>
          <w:rFonts w:cs="Arial"/>
        </w:rPr>
        <w:instrText xml:space="preserve">ABIM MOC Part 2: Successful completion of this CME activity, which includes participation in the evaluation component, enables the participant to earn up to </w:instrText>
      </w:r>
      <w:r w:rsidRPr="004200C3">
        <w:rPr>
          <w:rFonts w:cs="Arial"/>
        </w:rPr>
        <w:fldChar w:fldCharType="begin"/>
      </w:r>
      <w:r w:rsidRPr="004200C3">
        <w:rPr>
          <w:rFonts w:cs="Arial"/>
        </w:rPr>
        <w:instrText xml:space="preserve"> MERGEFIELD ABIMMOC2Max \# 0.00# </w:instrText>
      </w:r>
      <w:r w:rsidRPr="004200C3">
        <w:rPr>
          <w:rFonts w:cs="Arial"/>
        </w:rPr>
        <w:fldChar w:fldCharType="separate"/>
      </w:r>
      <w:r w:rsidRPr="004200C3">
        <w:rPr>
          <w:rFonts w:cs="Arial"/>
        </w:rPr>
        <w:fldChar w:fldCharType="end"/>
      </w:r>
      <w:r w:rsidRPr="004200C3">
        <w:rPr>
          <w:rFonts w:cs="Arial"/>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 </w:instrText>
      </w:r>
      <w:r w:rsidRPr="004200C3">
        <w:rPr>
          <w:rFonts w:cs="Arial"/>
        </w:rPr>
        <w:fldChar w:fldCharType="separate"/>
      </w:r>
      <w:r w:rsidRPr="004200C3">
        <w:rPr>
          <w:rFonts w:cs="Arial"/>
        </w:rPr>
        <w:fldChar w:fldCharType="end"/>
      </w:r>
      <w:r w:rsidRPr="004200C3">
        <w:rPr>
          <w:rFonts w:cs="Arial"/>
        </w:rPr>
        <w:fldChar w:fldCharType="begin"/>
      </w:r>
      <w:r w:rsidRPr="004200C3">
        <w:rPr>
          <w:rFonts w:cs="Arial"/>
        </w:rPr>
        <w:instrText xml:space="preserve"> IF </w:instrText>
      </w:r>
      <w:r w:rsidRPr="004200C3">
        <w:rPr>
          <w:rFonts w:cs="Arial"/>
        </w:rPr>
        <w:instrText>0.00</w:instrText>
      </w:r>
      <w:r w:rsidRPr="004200C3">
        <w:rPr>
          <w:rFonts w:cs="Arial"/>
        </w:rPr>
        <w:instrText xml:space="preserve"> &gt; 0 "</w:instrText>
      </w:r>
    </w:p>
    <w:p w:rsidR="004200C3" w:rsidRPr="004200C3" w:rsidP="004200C3">
      <w:pPr>
        <w:spacing w:line="240" w:lineRule="auto"/>
        <w:rPr>
          <w:rFonts w:cs="Arial"/>
        </w:rPr>
      </w:pPr>
      <w:r w:rsidRPr="004200C3">
        <w:rPr>
          <w:rFonts w:cs="Arial"/>
        </w:rPr>
        <w:instrText xml:space="preserve">ABS CC: Successful completion of this CME activity, enables the learner to earn credit toward the CME requirement(s) of the American Board of Surgery’s Continuous Certification program. It is the CME activity provider's responsibility to submit learner completion information to ACCME for the purpose of granting ABS credit." "" </w:instrText>
      </w:r>
      <w:r w:rsidRPr="004200C3">
        <w:rPr>
          <w:rFonts w:cs="Arial"/>
        </w:rPr>
        <w:fldChar w:fldCharType="separate"/>
      </w:r>
      <w:r w:rsidRPr="004200C3">
        <w:rPr>
          <w:rFonts w:cs="Arial"/>
        </w:rPr>
        <w:fldChar w:fldCharType="end"/>
      </w:r>
    </w:p>
    <w:p w:rsidR="00CE6541" w:rsidRPr="0028578E" w:rsidP="00802EA0">
      <w:pPr>
        <w:spacing w:line="240" w:lineRule="auto"/>
        <w:rPr>
          <w:rFonts w:cs="Arial"/>
          <w:sz w:val="20"/>
          <w:szCs w:val="20"/>
        </w:rPr>
      </w:pPr>
    </w:p>
    <w:sectPr w:rsidSect="0019460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10"/>
  <w:proofState w:spelling="clean" w:grammar="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93B4D"/>
    <w:pPr>
      <w:spacing w:after="200" w:line="276" w:lineRule="auto"/>
    </w:pPr>
    <w:rPr>
      <w:rFonts w:eastAsiaTheme="minorHAns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3B4D"/>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93B4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93B4D"/>
    <w:rPr>
      <w:rFonts w:ascii="Lucida Grande" w:hAnsi="Lucida Grande" w:eastAsiaTheme="minorHAnsi"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145</Words>
  <Characters>2163</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
    </vt:vector>
  </TitlesOfParts>
  <Company>A</Company>
  <LinksUpToDate>false</LinksUpToDate>
  <CharactersWithSpaces>2304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Beverly Millard</dc:creator>
  <cp:lastModifiedBy>Clayton, Michelle</cp:lastModifiedBy>
  <cp:revision>4</cp:revision>
  <dcterms:created xsi:type="dcterms:W3CDTF">2026-02-19T00:37:00Z</dcterms:created>
  <dcterms:modified xsi:type="dcterms:W3CDTF">2026-02-25T15:50:00Z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d87d5842cd70afe8b9cf581bf422cfcbc822beadda7edfc8b3083865ba3eee6d</vt:lpwstr>
  </property>
</Properties>
</file>